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707" w:type="dxa"/>
        <w:tblInd w:w="-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5"/>
        <w:gridCol w:w="4215"/>
        <w:gridCol w:w="2055"/>
        <w:gridCol w:w="3180"/>
        <w:gridCol w:w="31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56" w:hRule="atLeast"/>
        </w:trPr>
        <w:tc>
          <w:tcPr>
            <w:tcW w:w="13707" w:type="dxa"/>
            <w:gridSpan w:val="5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ascii="Tahoma" w:hAnsi="Tahoma" w:eastAsia="Tahoma" w:cs="Tahoma"/>
                <w:i w:val="0"/>
                <w:color w:val="000000"/>
                <w:sz w:val="52"/>
                <w:szCs w:val="5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2020年汤原县主城区易积水路段和地势低洼区域公示表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路段或区域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包保责任人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 务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京抚路与四海路丁字路口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甦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副主任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13946477799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振兴路与华胜街交叉路口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宇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综合设施管理股股长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13329449229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振兴路与龙缘巷交叉路口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朱明磊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13946478987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胜利街职业技术学校东侧区域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赵长军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车队队长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3" w:lineRule="atLeast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15945864166</w:t>
            </w:r>
            <w:r>
              <w:rPr>
                <w:rFonts w:hint="default" w:ascii="Tahoma" w:hAnsi="Tahoma" w:eastAsia="Tahoma" w:cs="Tahom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B95416"/>
    <w:rsid w:val="7246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2020-08-05T07:22:01Z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