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D17CD">
      <w:pPr>
        <w:spacing w:beforeLines="0" w:afterLines="0" w:line="560" w:lineRule="exact"/>
        <w:jc w:val="center"/>
        <w:rPr>
          <w:rFonts w:hint="eastAsia" w:ascii="方正小标宋简体" w:hAnsi="方正小标宋简体" w:eastAsia="方正小标宋简体"/>
          <w:sz w:val="44"/>
          <w:szCs w:val="24"/>
        </w:rPr>
      </w:pPr>
      <w:r>
        <w:rPr>
          <w:rFonts w:hint="eastAsia" w:ascii="方正小标宋简体" w:hAnsi="方正小标宋简体" w:eastAsia="方正小标宋简体"/>
          <w:sz w:val="44"/>
          <w:szCs w:val="24"/>
        </w:rPr>
        <w:t>汤原县2026年农业防灾减灾和水利救灾</w:t>
      </w:r>
    </w:p>
    <w:p w14:paraId="170357EB">
      <w:pPr>
        <w:spacing w:beforeLines="0" w:afterLines="0" w:line="560" w:lineRule="exact"/>
        <w:jc w:val="center"/>
        <w:rPr>
          <w:rFonts w:hint="eastAsia" w:ascii="方正小标宋简体" w:hAnsi="方正小标宋简体" w:eastAsia="方正小标宋简体"/>
          <w:sz w:val="44"/>
          <w:szCs w:val="2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/>
          <w:sz w:val="44"/>
          <w:szCs w:val="24"/>
        </w:rPr>
        <w:t>资金（动物防疫补助）实施方案</w:t>
      </w:r>
    </w:p>
    <w:p w14:paraId="5947B732">
      <w:pPr>
        <w:pStyle w:val="2"/>
        <w:spacing w:beforeLines="0" w:afterLines="0"/>
        <w:rPr>
          <w:rFonts w:hint="eastAsia"/>
          <w:sz w:val="32"/>
          <w:szCs w:val="24"/>
        </w:rPr>
      </w:pPr>
    </w:p>
    <w:p w14:paraId="4E940869">
      <w:pPr>
        <w:spacing w:beforeLines="0" w:afterLines="0" w:line="520" w:lineRule="exact"/>
        <w:ind w:firstLine="640" w:firstLineChars="20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根据黑龙江省关于《</w:t>
      </w:r>
      <w:r>
        <w:rPr>
          <w:rFonts w:hint="eastAsia" w:ascii="Times New Roman" w:hAnsi="Times New Roman" w:eastAsia="仿宋"/>
          <w:sz w:val="32"/>
          <w:szCs w:val="24"/>
        </w:rPr>
        <w:t>2026</w:t>
      </w:r>
      <w:r>
        <w:rPr>
          <w:rFonts w:hint="eastAsia" w:ascii="仿宋" w:hAnsi="仿宋" w:eastAsia="仿宋"/>
          <w:sz w:val="32"/>
          <w:szCs w:val="24"/>
        </w:rPr>
        <w:t>年提前下达农业防灾减灾和水利救灾资金（动物防疫补助）实施方案》（黑农厅联发〔</w:t>
      </w:r>
      <w:r>
        <w:rPr>
          <w:rFonts w:hint="eastAsia" w:ascii="Times New Roman" w:hAnsi="Times New Roman" w:eastAsia="仿宋"/>
          <w:sz w:val="32"/>
          <w:szCs w:val="24"/>
        </w:rPr>
        <w:t>2025</w:t>
      </w:r>
      <w:r>
        <w:rPr>
          <w:rFonts w:hint="eastAsia" w:ascii="仿宋" w:hAnsi="仿宋" w:eastAsia="仿宋"/>
          <w:sz w:val="32"/>
          <w:szCs w:val="24"/>
        </w:rPr>
        <w:t>〕</w:t>
      </w:r>
      <w:r>
        <w:rPr>
          <w:rFonts w:hint="eastAsia" w:ascii="Times New Roman" w:hAnsi="Times New Roman" w:eastAsia="仿宋"/>
          <w:sz w:val="32"/>
          <w:szCs w:val="24"/>
        </w:rPr>
        <w:t>350</w:t>
      </w:r>
      <w:r>
        <w:rPr>
          <w:rFonts w:hint="eastAsia" w:ascii="仿宋" w:hAnsi="仿宋" w:eastAsia="仿宋"/>
          <w:sz w:val="32"/>
          <w:szCs w:val="24"/>
        </w:rPr>
        <w:t>号）、《黑龙江省财政厅关于下达2026年第二批农业防灾减灾和水利救灾（动物防疫补助）资金的通知》（黑财指（农）〔</w:t>
      </w:r>
      <w:r>
        <w:rPr>
          <w:rFonts w:hint="eastAsia" w:ascii="Times New Roman" w:hAnsi="Times New Roman" w:eastAsia="仿宋"/>
          <w:sz w:val="32"/>
          <w:szCs w:val="24"/>
        </w:rPr>
        <w:t>2026</w:t>
      </w:r>
      <w:r>
        <w:rPr>
          <w:rFonts w:hint="eastAsia" w:ascii="仿宋" w:hAnsi="仿宋" w:eastAsia="仿宋"/>
          <w:sz w:val="32"/>
          <w:szCs w:val="24"/>
        </w:rPr>
        <w:t>〕252号）等有关文件要求，为贯彻落实国家动物防疫政策，切实做好我区重大动物疫病防控工作，维护畜牧产业安全和公共卫生安全，结合我县工作实际，制定本方案。</w:t>
      </w:r>
    </w:p>
    <w:p w14:paraId="78D6DD4B">
      <w:pPr>
        <w:spacing w:beforeLines="0" w:afterLines="0" w:line="560" w:lineRule="exact"/>
        <w:ind w:firstLine="640" w:firstLineChars="200"/>
        <w:rPr>
          <w:rFonts w:hint="eastAsia" w:ascii="黑体" w:hAnsi="黑体" w:eastAsia="黑体"/>
          <w:sz w:val="32"/>
          <w:szCs w:val="24"/>
        </w:rPr>
      </w:pPr>
      <w:r>
        <w:rPr>
          <w:rFonts w:hint="eastAsia" w:ascii="黑体" w:hAnsi="黑体" w:eastAsia="黑体"/>
          <w:sz w:val="32"/>
          <w:szCs w:val="24"/>
          <w:lang w:eastAsia="zh-CN"/>
        </w:rPr>
        <w:t>一、</w:t>
      </w:r>
      <w:r>
        <w:rPr>
          <w:rFonts w:hint="eastAsia" w:ascii="黑体" w:hAnsi="黑体" w:eastAsia="黑体"/>
          <w:sz w:val="32"/>
          <w:szCs w:val="24"/>
        </w:rPr>
        <w:t>养殖环节病死畜禽无害化处理补助</w:t>
      </w:r>
    </w:p>
    <w:p w14:paraId="74CAF2B2">
      <w:pPr>
        <w:spacing w:beforeLines="0" w:afterLines="0" w:line="560" w:lineRule="exact"/>
        <w:ind w:firstLine="640" w:firstLineChars="200"/>
        <w:rPr>
          <w:rFonts w:hint="eastAsia" w:ascii="楷体" w:hAnsi="楷体" w:eastAsia="楷体"/>
          <w:sz w:val="32"/>
          <w:szCs w:val="24"/>
        </w:rPr>
      </w:pPr>
      <w:r>
        <w:rPr>
          <w:rFonts w:hint="eastAsia" w:ascii="楷体" w:hAnsi="楷体" w:eastAsia="楷体"/>
          <w:sz w:val="32"/>
          <w:szCs w:val="24"/>
        </w:rPr>
        <w:t>（一）实施目标</w:t>
      </w:r>
    </w:p>
    <w:p w14:paraId="69D144EF">
      <w:pPr>
        <w:spacing w:beforeLines="0" w:afterLines="0" w:line="560" w:lineRule="exact"/>
        <w:ind w:firstLine="640" w:firstLineChars="20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做好养殖环节病死猪无害化处理工作，努力确保不发生大规模随意抛弃病畜禽事件。</w:t>
      </w:r>
    </w:p>
    <w:p w14:paraId="0E4B6A12">
      <w:pPr>
        <w:spacing w:beforeLines="0" w:afterLines="0" w:line="560" w:lineRule="exact"/>
        <w:ind w:firstLine="640" w:firstLineChars="200"/>
        <w:rPr>
          <w:rFonts w:hint="eastAsia" w:ascii="楷体" w:hAnsi="楷体" w:eastAsia="楷体"/>
          <w:sz w:val="32"/>
          <w:szCs w:val="24"/>
        </w:rPr>
      </w:pPr>
      <w:r>
        <w:rPr>
          <w:rFonts w:hint="eastAsia" w:ascii="楷体" w:hAnsi="楷体" w:eastAsia="楷体"/>
          <w:sz w:val="32"/>
          <w:szCs w:val="24"/>
        </w:rPr>
        <w:t>（二）实施范围</w:t>
      </w:r>
    </w:p>
    <w:p w14:paraId="5CD36BEA">
      <w:pPr>
        <w:spacing w:beforeLines="0" w:afterLines="0" w:line="560" w:lineRule="exact"/>
        <w:ind w:firstLine="640" w:firstLineChars="20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全县1</w:t>
      </w:r>
      <w:r>
        <w:rPr>
          <w:rFonts w:hint="eastAsia" w:ascii="仿宋" w:hAnsi="仿宋" w:eastAsia="仿宋"/>
          <w:sz w:val="32"/>
          <w:szCs w:val="24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24"/>
        </w:rPr>
        <w:t>个乡镇及所辖鹤立林业局等农林场。</w:t>
      </w:r>
    </w:p>
    <w:p w14:paraId="516EF6B3">
      <w:pPr>
        <w:spacing w:beforeLines="0" w:afterLines="0" w:line="560" w:lineRule="exact"/>
        <w:ind w:firstLine="640" w:firstLineChars="200"/>
        <w:rPr>
          <w:rFonts w:hint="eastAsia" w:ascii="楷体" w:hAnsi="楷体" w:eastAsia="楷体"/>
          <w:sz w:val="32"/>
          <w:szCs w:val="24"/>
        </w:rPr>
      </w:pPr>
      <w:r>
        <w:rPr>
          <w:rFonts w:hint="eastAsia" w:ascii="楷体" w:hAnsi="楷体" w:eastAsia="楷体"/>
          <w:sz w:val="32"/>
          <w:szCs w:val="24"/>
        </w:rPr>
        <w:t>（三）补助对象及标准</w:t>
      </w:r>
    </w:p>
    <w:p w14:paraId="5EF26E26">
      <w:pPr>
        <w:spacing w:beforeLines="0" w:afterLines="0" w:line="560" w:lineRule="exact"/>
        <w:ind w:firstLine="640" w:firstLineChars="20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补助对象为承担集中无害化处理任务的专业化无害化处理企业。按照《关于进一步加强病死畜禽无害化处理工作的通知》（黑农厅联规〔</w:t>
      </w:r>
      <w:r>
        <w:rPr>
          <w:rFonts w:hint="eastAsia" w:ascii="Times New Roman" w:hAnsi="Times New Roman" w:eastAsia="仿宋"/>
          <w:sz w:val="32"/>
          <w:szCs w:val="24"/>
        </w:rPr>
        <w:t>2021</w:t>
      </w:r>
      <w:r>
        <w:rPr>
          <w:rFonts w:hint="eastAsia" w:ascii="仿宋" w:hAnsi="仿宋" w:eastAsia="仿宋"/>
          <w:sz w:val="32"/>
          <w:szCs w:val="24"/>
        </w:rPr>
        <w:t>〕</w:t>
      </w:r>
      <w:r>
        <w:rPr>
          <w:rFonts w:hint="eastAsia" w:ascii="Times New Roman" w:hAnsi="Times New Roman" w:eastAsia="仿宋"/>
          <w:sz w:val="32"/>
          <w:szCs w:val="24"/>
        </w:rPr>
        <w:t>3</w:t>
      </w:r>
      <w:r>
        <w:rPr>
          <w:rFonts w:hint="eastAsia" w:ascii="仿宋" w:hAnsi="仿宋" w:eastAsia="仿宋"/>
          <w:sz w:val="32"/>
          <w:szCs w:val="24"/>
        </w:rPr>
        <w:t>号）要求，猪体长大于</w:t>
      </w:r>
      <w:r>
        <w:rPr>
          <w:rFonts w:hint="eastAsia" w:ascii="Times New Roman" w:hAnsi="Times New Roman" w:eastAsia="仿宋"/>
          <w:sz w:val="32"/>
          <w:szCs w:val="24"/>
        </w:rPr>
        <w:t>50cm</w:t>
      </w:r>
      <w:r>
        <w:rPr>
          <w:rFonts w:hint="eastAsia" w:ascii="仿宋" w:hAnsi="仿宋" w:eastAsia="仿宋"/>
          <w:sz w:val="32"/>
          <w:szCs w:val="24"/>
        </w:rPr>
        <w:t>（含）的每头补助</w:t>
      </w:r>
      <w:r>
        <w:rPr>
          <w:rFonts w:hint="eastAsia" w:ascii="Times New Roman" w:hAnsi="Times New Roman" w:eastAsia="仿宋"/>
          <w:sz w:val="32"/>
          <w:szCs w:val="24"/>
        </w:rPr>
        <w:t>70</w:t>
      </w:r>
      <w:r>
        <w:rPr>
          <w:rFonts w:hint="eastAsia" w:ascii="仿宋" w:hAnsi="仿宋" w:eastAsia="仿宋"/>
          <w:sz w:val="32"/>
          <w:szCs w:val="24"/>
        </w:rPr>
        <w:t>元，其中：中央和省级承担</w:t>
      </w:r>
      <w:r>
        <w:rPr>
          <w:rFonts w:hint="eastAsia" w:ascii="Times New Roman" w:hAnsi="Times New Roman" w:eastAsia="仿宋"/>
          <w:sz w:val="32"/>
          <w:szCs w:val="24"/>
        </w:rPr>
        <w:t>55</w:t>
      </w:r>
      <w:r>
        <w:rPr>
          <w:rFonts w:hint="eastAsia" w:ascii="仿宋" w:hAnsi="仿宋" w:eastAsia="仿宋"/>
          <w:sz w:val="32"/>
          <w:szCs w:val="24"/>
        </w:rPr>
        <w:t>元，县级承担</w:t>
      </w:r>
      <w:r>
        <w:rPr>
          <w:rFonts w:hint="eastAsia" w:ascii="Times New Roman" w:hAnsi="Times New Roman" w:eastAsia="仿宋"/>
          <w:sz w:val="32"/>
          <w:szCs w:val="24"/>
        </w:rPr>
        <w:t>15</w:t>
      </w:r>
      <w:r>
        <w:rPr>
          <w:rFonts w:hint="eastAsia" w:ascii="仿宋" w:hAnsi="仿宋" w:eastAsia="仿宋"/>
          <w:sz w:val="32"/>
          <w:szCs w:val="24"/>
        </w:rPr>
        <w:t>元；体长小于</w:t>
      </w:r>
      <w:r>
        <w:rPr>
          <w:rFonts w:hint="eastAsia" w:ascii="Times New Roman" w:hAnsi="Times New Roman" w:eastAsia="仿宋"/>
          <w:sz w:val="32"/>
          <w:szCs w:val="24"/>
        </w:rPr>
        <w:t>50cm</w:t>
      </w:r>
      <w:r>
        <w:rPr>
          <w:rFonts w:hint="eastAsia" w:ascii="仿宋" w:hAnsi="仿宋" w:eastAsia="仿宋"/>
          <w:sz w:val="32"/>
          <w:szCs w:val="24"/>
        </w:rPr>
        <w:t>的每头补助</w:t>
      </w:r>
      <w:r>
        <w:rPr>
          <w:rFonts w:hint="eastAsia" w:ascii="Times New Roman" w:hAnsi="Times New Roman" w:eastAsia="仿宋"/>
          <w:sz w:val="32"/>
          <w:szCs w:val="24"/>
        </w:rPr>
        <w:t>45</w:t>
      </w:r>
      <w:r>
        <w:rPr>
          <w:rFonts w:hint="eastAsia" w:ascii="仿宋" w:hAnsi="仿宋" w:eastAsia="仿宋"/>
          <w:sz w:val="32"/>
          <w:szCs w:val="24"/>
        </w:rPr>
        <w:t>元，其中：中央和省级承担</w:t>
      </w:r>
      <w:r>
        <w:rPr>
          <w:rFonts w:hint="eastAsia" w:ascii="Times New Roman" w:hAnsi="Times New Roman" w:eastAsia="仿宋"/>
          <w:sz w:val="32"/>
          <w:szCs w:val="24"/>
        </w:rPr>
        <w:t>35</w:t>
      </w:r>
      <w:r>
        <w:rPr>
          <w:rFonts w:hint="eastAsia" w:ascii="仿宋" w:hAnsi="仿宋" w:eastAsia="仿宋"/>
          <w:sz w:val="32"/>
          <w:szCs w:val="24"/>
        </w:rPr>
        <w:t>元，县级承担</w:t>
      </w:r>
      <w:r>
        <w:rPr>
          <w:rFonts w:hint="eastAsia" w:ascii="Times New Roman" w:hAnsi="Times New Roman" w:eastAsia="仿宋"/>
          <w:sz w:val="32"/>
          <w:szCs w:val="24"/>
        </w:rPr>
        <w:t>10</w:t>
      </w:r>
      <w:r>
        <w:rPr>
          <w:rFonts w:hint="eastAsia" w:ascii="仿宋" w:hAnsi="仿宋" w:eastAsia="仿宋"/>
          <w:sz w:val="32"/>
          <w:szCs w:val="24"/>
        </w:rPr>
        <w:t>元。主要用于养殖环节病死猪的无害化处理方面，无害化处理的猪是指病死猪，不包括强制扑杀的猪。病死猪指法律、法规规定的，患有动物传染性疾病、寄生虫病和中毒性疾病等死亡的生猪。养殖环节不包括的情形，补助资金不得纳入补助范围，但要依法进行无害化处理。</w:t>
      </w:r>
    </w:p>
    <w:p w14:paraId="117D97E1">
      <w:pPr>
        <w:spacing w:beforeLines="0" w:afterLines="0" w:line="560" w:lineRule="exact"/>
        <w:ind w:firstLine="640" w:firstLineChars="20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Times New Roman" w:hAnsi="Times New Roman" w:eastAsia="仿宋"/>
          <w:sz w:val="32"/>
          <w:szCs w:val="24"/>
        </w:rPr>
        <w:t>2026</w:t>
      </w:r>
      <w:r>
        <w:rPr>
          <w:rFonts w:hint="eastAsia" w:ascii="仿宋" w:hAnsi="仿宋" w:eastAsia="仿宋"/>
          <w:sz w:val="32"/>
          <w:szCs w:val="24"/>
        </w:rPr>
        <w:t>年第一笔无害化处理补助资金58.12万元，用于补助桦川百奥迈斯生物科技有限公司收集处理</w:t>
      </w:r>
      <w:r>
        <w:rPr>
          <w:rFonts w:hint="eastAsia" w:ascii="Times New Roman" w:hAnsi="Times New Roman" w:eastAsia="仿宋"/>
          <w:sz w:val="32"/>
          <w:szCs w:val="24"/>
        </w:rPr>
        <w:t>2025</w:t>
      </w:r>
      <w:r>
        <w:rPr>
          <w:rFonts w:hint="eastAsia" w:ascii="仿宋" w:hAnsi="仿宋" w:eastAsia="仿宋"/>
          <w:sz w:val="32"/>
          <w:szCs w:val="24"/>
        </w:rPr>
        <w:t>年1--8月份体长大于</w:t>
      </w:r>
      <w:r>
        <w:rPr>
          <w:rFonts w:hint="eastAsia" w:ascii="Times New Roman" w:hAnsi="Times New Roman" w:eastAsia="仿宋"/>
          <w:sz w:val="32"/>
          <w:szCs w:val="24"/>
        </w:rPr>
        <w:t>50cm</w:t>
      </w:r>
      <w:r>
        <w:rPr>
          <w:rFonts w:hint="eastAsia" w:ascii="仿宋" w:hAnsi="仿宋" w:eastAsia="仿宋"/>
          <w:sz w:val="32"/>
          <w:szCs w:val="24"/>
        </w:rPr>
        <w:t>（含）病死猪2180头，体长小于</w:t>
      </w:r>
      <w:r>
        <w:rPr>
          <w:rFonts w:hint="eastAsia" w:ascii="Times New Roman" w:hAnsi="Times New Roman" w:eastAsia="仿宋"/>
          <w:sz w:val="32"/>
          <w:szCs w:val="24"/>
        </w:rPr>
        <w:t>50cm</w:t>
      </w:r>
      <w:r>
        <w:rPr>
          <w:rFonts w:hint="eastAsia" w:ascii="仿宋" w:hAnsi="仿宋" w:eastAsia="仿宋"/>
          <w:sz w:val="32"/>
          <w:szCs w:val="24"/>
        </w:rPr>
        <w:t>病死猪</w:t>
      </w:r>
      <w:r>
        <w:rPr>
          <w:rFonts w:hint="eastAsia" w:ascii="Times New Roman" w:hAnsi="Times New Roman" w:eastAsia="仿宋"/>
          <w:sz w:val="32"/>
          <w:szCs w:val="24"/>
        </w:rPr>
        <w:t>13180</w:t>
      </w:r>
      <w:r>
        <w:rPr>
          <w:rFonts w:hint="eastAsia" w:ascii="仿宋" w:hAnsi="仿宋" w:eastAsia="仿宋"/>
          <w:sz w:val="32"/>
          <w:szCs w:val="24"/>
        </w:rPr>
        <w:t>头。</w:t>
      </w:r>
    </w:p>
    <w:p w14:paraId="6A910F79">
      <w:pPr>
        <w:numPr>
          <w:ilvl w:val="0"/>
          <w:numId w:val="0"/>
        </w:numPr>
        <w:spacing w:beforeLines="0" w:afterLines="0"/>
        <w:ind w:firstLine="640" w:firstLineChars="200"/>
        <w:rPr>
          <w:rFonts w:hint="eastAsia"/>
          <w:sz w:val="30"/>
          <w:szCs w:val="24"/>
        </w:rPr>
      </w:pPr>
      <w:r>
        <w:rPr>
          <w:rFonts w:hint="eastAsia" w:ascii="Times New Roman" w:hAnsi="Times New Roman" w:eastAsia="仿宋"/>
          <w:sz w:val="32"/>
          <w:szCs w:val="24"/>
        </w:rPr>
        <w:t>2026</w:t>
      </w:r>
      <w:r>
        <w:rPr>
          <w:rFonts w:hint="eastAsia" w:ascii="仿宋" w:hAnsi="仿宋" w:eastAsia="仿宋"/>
          <w:sz w:val="32"/>
          <w:szCs w:val="24"/>
        </w:rPr>
        <w:t>年第二笔无害化处理补助资金21.87万元，用于补助桦川百奥迈斯生物科技有限公司收集处理</w:t>
      </w:r>
      <w:r>
        <w:rPr>
          <w:rFonts w:hint="eastAsia" w:ascii="Times New Roman" w:hAnsi="Times New Roman" w:eastAsia="仿宋"/>
          <w:sz w:val="32"/>
          <w:szCs w:val="24"/>
        </w:rPr>
        <w:t>2025</w:t>
      </w:r>
      <w:r>
        <w:rPr>
          <w:rFonts w:hint="eastAsia" w:ascii="仿宋" w:hAnsi="仿宋" w:eastAsia="仿宋"/>
          <w:sz w:val="32"/>
          <w:szCs w:val="24"/>
        </w:rPr>
        <w:t>年9-12月份体长大于</w:t>
      </w:r>
      <w:r>
        <w:rPr>
          <w:rFonts w:hint="eastAsia" w:ascii="Times New Roman" w:hAnsi="Times New Roman" w:eastAsia="仿宋"/>
          <w:sz w:val="32"/>
          <w:szCs w:val="24"/>
        </w:rPr>
        <w:t>50cm</w:t>
      </w:r>
      <w:r>
        <w:rPr>
          <w:rFonts w:hint="eastAsia" w:ascii="仿宋" w:hAnsi="仿宋" w:eastAsia="仿宋"/>
          <w:sz w:val="32"/>
          <w:szCs w:val="24"/>
        </w:rPr>
        <w:t>（含）病死猪2500头，体长小于</w:t>
      </w:r>
      <w:r>
        <w:rPr>
          <w:rFonts w:hint="eastAsia" w:ascii="Times New Roman" w:hAnsi="Times New Roman" w:eastAsia="仿宋"/>
          <w:sz w:val="32"/>
          <w:szCs w:val="24"/>
        </w:rPr>
        <w:t>50cm</w:t>
      </w:r>
      <w:r>
        <w:rPr>
          <w:rFonts w:hint="eastAsia" w:ascii="仿宋" w:hAnsi="仿宋" w:eastAsia="仿宋"/>
          <w:sz w:val="32"/>
          <w:szCs w:val="24"/>
        </w:rPr>
        <w:t>病死猪2320头。</w:t>
      </w:r>
    </w:p>
    <w:p w14:paraId="0F2B58B0">
      <w:pPr>
        <w:numPr>
          <w:ilvl w:val="0"/>
          <w:numId w:val="0"/>
        </w:numPr>
        <w:spacing w:beforeLines="0" w:afterLines="0"/>
        <w:ind w:firstLine="640" w:firstLineChars="200"/>
        <w:rPr>
          <w:rFonts w:hint="eastAsia" w:ascii="黑体" w:hAnsi="黑体" w:eastAsia="黑体" w:cs="黑体"/>
          <w:sz w:val="32"/>
          <w:szCs w:val="24"/>
        </w:rPr>
      </w:pPr>
      <w:r>
        <w:rPr>
          <w:rFonts w:hint="eastAsia" w:ascii="黑体" w:hAnsi="黑体" w:eastAsia="黑体" w:cs="黑体"/>
          <w:sz w:val="32"/>
          <w:szCs w:val="24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24"/>
        </w:rPr>
        <w:t>、养殖环节病死牛、羊、禽集中无害化处理实施方案</w:t>
      </w:r>
    </w:p>
    <w:p w14:paraId="4C8102BB">
      <w:pPr>
        <w:numPr>
          <w:ilvl w:val="0"/>
          <w:numId w:val="0"/>
        </w:numPr>
        <w:spacing w:beforeLines="0" w:afterLines="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 xml:space="preserve">  根据黑龙江省农业农村厅和黑龙江省财政厅联合下发的黑农厅联发【2022】404号文件精神，结合我县实际制定本方案。</w:t>
      </w:r>
    </w:p>
    <w:p w14:paraId="5A9430D9">
      <w:pPr>
        <w:numPr>
          <w:ilvl w:val="0"/>
          <w:numId w:val="0"/>
        </w:numPr>
        <w:spacing w:beforeLines="0" w:afterLines="0"/>
        <w:ind w:firstLine="640" w:firstLineChars="20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（一）、监管模式</w:t>
      </w:r>
    </w:p>
    <w:p w14:paraId="63AB5C0A">
      <w:pPr>
        <w:numPr>
          <w:ilvl w:val="0"/>
          <w:numId w:val="0"/>
        </w:numPr>
        <w:spacing w:beforeLines="0" w:afterLines="0"/>
        <w:ind w:left="30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 xml:space="preserve">  全县养殖环节病死牛、羊、家禽实行集中无害化处理，应用“智慧龙牧”APP无害化处理模块申报、收集、处理和补助确认。病死畜禽从收集到处理全过程应用信息化监管模式。按照《动物防疫法》《黑龙江省动物防疫条例》等有关法律法规要求，明确职能职责监管范围。</w:t>
      </w:r>
    </w:p>
    <w:p w14:paraId="0799D118">
      <w:pPr>
        <w:numPr>
          <w:ilvl w:val="0"/>
          <w:numId w:val="1"/>
        </w:numPr>
        <w:spacing w:beforeLines="0" w:afterLines="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、补助对象</w:t>
      </w:r>
    </w:p>
    <w:p w14:paraId="302CB48E">
      <w:pPr>
        <w:numPr>
          <w:ilvl w:val="0"/>
          <w:numId w:val="0"/>
        </w:numPr>
        <w:spacing w:beforeLines="0" w:afterLines="0"/>
        <w:ind w:left="60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 xml:space="preserve">  用于实施集中处理的专业无害化处理企业：桦川百奥迈斯生物科技有限公司，自行处理的养殖场（户）不予补助。补助资金不得用于应急处置、随意弃置、无法确认畜主，依法扑杀等非养殖环节的牛、羊、家禽。</w:t>
      </w:r>
    </w:p>
    <w:p w14:paraId="7188C07F">
      <w:pPr>
        <w:numPr>
          <w:ilvl w:val="0"/>
          <w:numId w:val="1"/>
        </w:numPr>
        <w:spacing w:beforeLines="0" w:afterLines="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、补助标准</w:t>
      </w:r>
    </w:p>
    <w:p w14:paraId="7EB87A2D">
      <w:pPr>
        <w:numPr>
          <w:ilvl w:val="0"/>
          <w:numId w:val="0"/>
        </w:numPr>
        <w:spacing w:beforeLines="0" w:afterLines="0"/>
        <w:ind w:left="60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 xml:space="preserve">  按照省级对病死牛补助不高于400元/头；病死羊不高于56元/只；病死家禽不高于800元/吨（死雏不在补贴范围）的要求，把县级下拨资金全额拨付给企业。</w:t>
      </w:r>
    </w:p>
    <w:p w14:paraId="5B920CD3">
      <w:pPr>
        <w:numPr>
          <w:ilvl w:val="0"/>
          <w:numId w:val="0"/>
        </w:numPr>
        <w:spacing w:beforeLines="0" w:afterLines="0"/>
        <w:ind w:left="600"/>
        <w:rPr>
          <w:rFonts w:hint="eastAsia" w:ascii="黑体" w:hAnsi="黑体" w:eastAsia="黑体" w:cs="黑体"/>
          <w:sz w:val="32"/>
          <w:szCs w:val="24"/>
        </w:rPr>
      </w:pPr>
      <w:r>
        <w:rPr>
          <w:rFonts w:hint="eastAsia" w:ascii="黑体" w:hAnsi="黑体" w:eastAsia="黑体" w:cs="黑体"/>
          <w:sz w:val="32"/>
          <w:szCs w:val="24"/>
        </w:rPr>
        <w:t xml:space="preserve">  </w:t>
      </w:r>
      <w:r>
        <w:rPr>
          <w:rFonts w:hint="eastAsia" w:ascii="黑体" w:hAnsi="黑体" w:eastAsia="黑体" w:cs="黑体"/>
          <w:sz w:val="32"/>
          <w:szCs w:val="24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24"/>
        </w:rPr>
        <w:t>、有关要求</w:t>
      </w:r>
    </w:p>
    <w:p w14:paraId="30981667">
      <w:pPr>
        <w:spacing w:beforeLines="0" w:afterLines="0" w:line="560" w:lineRule="exact"/>
        <w:ind w:firstLine="640" w:firstLineChars="200"/>
        <w:rPr>
          <w:rFonts w:hint="eastAsia" w:ascii="仿宋" w:hAnsi="仿宋" w:eastAsia="仿宋"/>
          <w:sz w:val="32"/>
          <w:szCs w:val="24"/>
        </w:rPr>
      </w:pPr>
      <w:r>
        <w:rPr>
          <w:rFonts w:hint="eastAsia" w:ascii="仿宋" w:hAnsi="仿宋" w:eastAsia="仿宋"/>
          <w:sz w:val="32"/>
          <w:szCs w:val="24"/>
        </w:rPr>
        <w:t>各有关单位要切实提高政治站位，统一思想认识，强化组织领导，密切协作配合，健全工作机制，确保各项财政支持政策精准落地、有效实施。要结合本地实际，依据本方案要求，进一步明确目标任务、责任分工和进度安排。要建立健全信息公开公示制度，及时向社会公开补助资金的发放情况，广泛接受社会公众和群众监督。做到补助对象精准，专款专用。要按照预算管理要求，完善绩效目标管理，做好绩效运行监控和绩效评价，确保财政资金安全有效。县农业农村局要建立执行定期调度和督导机制，做好实施总结，分析执行情况、存在问题并提出有关建议，并于2026年12月30日前将实施总结报送省农业农村厅。</w:t>
      </w:r>
    </w:p>
    <w:p w14:paraId="7A25A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right="567" w:firstLine="664" w:firstLineChars="200"/>
        <w:jc w:val="center"/>
        <w:textAlignment w:val="baseline"/>
        <w:rPr>
          <w:rFonts w:hint="default" w:ascii="Times New Roman" w:hAnsi="Times New Roman" w:eastAsia="仿宋_GB2312" w:cs="Times New Roman"/>
          <w:snapToGrid w:val="0"/>
          <w:color w:val="000000"/>
          <w:spacing w:val="6"/>
          <w:kern w:val="0"/>
          <w:sz w:val="32"/>
          <w:szCs w:val="32"/>
          <w:lang w:val="en-US" w:eastAsia="zh-CN" w:bidi="ar-SA"/>
        </w:rPr>
      </w:pPr>
    </w:p>
    <w:p w14:paraId="06ADA078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33E8F">
    <w:pPr>
      <w:pStyle w:val="3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89B45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89B45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4475B1"/>
    <w:multiLevelType w:val="multilevel"/>
    <w:tmpl w:val="6B4475B1"/>
    <w:lvl w:ilvl="0" w:tentative="0">
      <w:start w:val="2"/>
      <w:numFmt w:val="chineseCounting"/>
      <w:suff w:val="nothing"/>
      <w:lvlText w:val="（%1）"/>
      <w:lvlJc w:val="left"/>
      <w:pPr>
        <w:ind w:left="600" w:firstLine="0"/>
      </w:pPr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wOGExMDUxMGEwMWYxMmQxNzQxMjdjM2NmZTAzY2EifQ=="/>
  </w:docVars>
  <w:rsids>
    <w:rsidRoot w:val="3F141450"/>
    <w:rsid w:val="06B75E23"/>
    <w:rsid w:val="08427E79"/>
    <w:rsid w:val="17045515"/>
    <w:rsid w:val="37F92887"/>
    <w:rsid w:val="3A8B5D84"/>
    <w:rsid w:val="3BFF41C9"/>
    <w:rsid w:val="3F141450"/>
    <w:rsid w:val="403B420F"/>
    <w:rsid w:val="424E0BD1"/>
    <w:rsid w:val="462A0982"/>
    <w:rsid w:val="47E66A90"/>
    <w:rsid w:val="47EF089C"/>
    <w:rsid w:val="48FF25D1"/>
    <w:rsid w:val="64314722"/>
    <w:rsid w:val="695C02A2"/>
    <w:rsid w:val="6D354BC3"/>
    <w:rsid w:val="769B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1"/>
    <w:unhideWhenUsed/>
    <w:qFormat/>
    <w:uiPriority w:val="99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32"/>
      <w:szCs w:val="24"/>
      <w:lang w:val="en-US" w:eastAsia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1355</Words>
  <Characters>1458</Characters>
  <Lines>1</Lines>
  <Paragraphs>1</Paragraphs>
  <TotalTime>0</TotalTime>
  <ScaleCrop>false</ScaleCrop>
  <LinksUpToDate>false</LinksUpToDate>
  <CharactersWithSpaces>1468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2022-01-01T08:41:00Z</dcterms:created>
  <dc:creator>Administrator</dc:creator>
  <cp:lastModifiedBy>good good study</cp:lastModifiedBy>
  <cp:lastPrinted>2026-08-24T01:26:00Z</cp:lastPrinted>
  <dcterms:modified xsi:type="dcterms:W3CDTF">2026-08-25T00:52:19Z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E5D5E9A925584C3C91BCD91AD3C2A8B5_13</vt:lpwstr>
  </property>
  <property fmtid="{D5CDD505-2E9C-101B-9397-08002B2CF9AE}" pid="4" name="KSOTemplateDocerSaveRecord">
    <vt:lpwstr>eyJoZGlkIjoiMTZmYWYwMDQ0ZmZhZTVlZmRjNTQ4MmI2MzdlMjRlZTQiLCJ1c2VySWQiOiIyNTAzMzg4NTUifQ==</vt:lpwstr>
  </property>
</Properties>
</file>