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7A32E">
      <w:pPr>
        <w:keepNext w:val="0"/>
        <w:keepLines w:val="0"/>
        <w:pageBreakBefore w:val="0"/>
        <w:widowControl/>
        <w:kinsoku w:val="0"/>
        <w:wordWrap/>
        <w:overflowPunct/>
        <w:topLinePunct w:val="0"/>
        <w:autoSpaceDE w:val="0"/>
        <w:autoSpaceDN w:val="0"/>
        <w:bidi w:val="0"/>
        <w:adjustRightInd w:val="0"/>
        <w:snapToGrid w:val="0"/>
        <w:spacing w:before="110" w:line="219" w:lineRule="auto"/>
        <w:jc w:val="both"/>
        <w:textAlignment w:val="baseline"/>
        <w:rPr>
          <w:rFonts w:ascii="Times New Roman" w:hAnsi="Times New Roman" w:eastAsia="宋体" w:cs="宋体"/>
          <w:b/>
          <w:bCs/>
          <w:spacing w:val="3"/>
          <w:sz w:val="44"/>
          <w:szCs w:val="44"/>
        </w:rPr>
      </w:pPr>
    </w:p>
    <w:p w14:paraId="7F096784">
      <w:pPr>
        <w:keepNext w:val="0"/>
        <w:keepLines w:val="0"/>
        <w:pageBreakBefore w:val="0"/>
        <w:widowControl/>
        <w:kinsoku w:val="0"/>
        <w:wordWrap/>
        <w:overflowPunct/>
        <w:topLinePunct w:val="0"/>
        <w:autoSpaceDE w:val="0"/>
        <w:autoSpaceDN w:val="0"/>
        <w:bidi w:val="0"/>
        <w:adjustRightInd w:val="0"/>
        <w:snapToGrid w:val="0"/>
        <w:spacing w:before="110" w:line="219" w:lineRule="auto"/>
        <w:jc w:val="center"/>
        <w:textAlignment w:val="baseline"/>
        <w:rPr>
          <w:rFonts w:ascii="Times New Roman" w:hAnsi="Times New Roman" w:eastAsia="宋体" w:cs="宋体"/>
          <w:sz w:val="44"/>
          <w:szCs w:val="44"/>
        </w:rPr>
      </w:pPr>
      <w:r>
        <w:rPr>
          <w:rFonts w:ascii="Times New Roman" w:hAnsi="Times New Roman" w:eastAsia="宋体" w:cs="宋体"/>
          <w:b/>
          <w:bCs/>
          <w:spacing w:val="3"/>
          <w:sz w:val="44"/>
          <w:szCs w:val="44"/>
        </w:rPr>
        <w:t>汤原县202</w:t>
      </w:r>
      <w:r>
        <w:rPr>
          <w:rFonts w:hint="eastAsia" w:ascii="Times New Roman" w:hAnsi="Times New Roman" w:eastAsia="宋体" w:cs="宋体"/>
          <w:b/>
          <w:bCs/>
          <w:spacing w:val="3"/>
          <w:sz w:val="44"/>
          <w:szCs w:val="44"/>
          <w:lang w:val="en-US" w:eastAsia="zh-CN"/>
        </w:rPr>
        <w:t>6</w:t>
      </w:r>
      <w:r>
        <w:rPr>
          <w:rFonts w:ascii="Times New Roman" w:hAnsi="Times New Roman" w:eastAsia="宋体" w:cs="宋体"/>
          <w:b/>
          <w:bCs/>
          <w:spacing w:val="3"/>
          <w:sz w:val="44"/>
          <w:szCs w:val="44"/>
        </w:rPr>
        <w:t>年动物防疫补助项目实施方案</w:t>
      </w:r>
    </w:p>
    <w:p w14:paraId="3A54A538">
      <w:pPr>
        <w:keepNext w:val="0"/>
        <w:keepLines w:val="0"/>
        <w:pageBreakBefore w:val="0"/>
        <w:widowControl/>
        <w:kinsoku w:val="0"/>
        <w:wordWrap/>
        <w:overflowPunct/>
        <w:topLinePunct w:val="0"/>
        <w:autoSpaceDE w:val="0"/>
        <w:autoSpaceDN w:val="0"/>
        <w:bidi w:val="0"/>
        <w:adjustRightInd w:val="0"/>
        <w:snapToGrid w:val="0"/>
        <w:spacing w:line="287" w:lineRule="auto"/>
        <w:ind w:firstLine="420" w:firstLineChars="200"/>
        <w:jc w:val="both"/>
        <w:textAlignment w:val="baseline"/>
        <w:rPr>
          <w:rFonts w:ascii="Times New Roman" w:hAnsi="Times New Roman"/>
          <w:sz w:val="21"/>
        </w:rPr>
      </w:pPr>
    </w:p>
    <w:p w14:paraId="004F5190">
      <w:pPr>
        <w:keepNext w:val="0"/>
        <w:keepLines w:val="0"/>
        <w:pageBreakBefore w:val="0"/>
        <w:widowControl/>
        <w:kinsoku w:val="0"/>
        <w:wordWrap/>
        <w:overflowPunct/>
        <w:topLinePunct w:val="0"/>
        <w:autoSpaceDE w:val="0"/>
        <w:autoSpaceDN w:val="0"/>
        <w:bidi w:val="0"/>
        <w:adjustRightInd w:val="0"/>
        <w:snapToGrid w:val="0"/>
        <w:spacing w:line="288" w:lineRule="auto"/>
        <w:ind w:firstLine="420" w:firstLineChars="200"/>
        <w:jc w:val="both"/>
        <w:textAlignment w:val="baseline"/>
        <w:rPr>
          <w:rFonts w:ascii="Times New Roman" w:hAnsi="Times New Roman"/>
          <w:sz w:val="21"/>
        </w:rPr>
      </w:pPr>
    </w:p>
    <w:p w14:paraId="235143DF">
      <w:pPr>
        <w:pStyle w:val="3"/>
        <w:keepNext w:val="0"/>
        <w:keepLines w:val="0"/>
        <w:pageBreakBefore w:val="0"/>
        <w:widowControl/>
        <w:kinsoku w:val="0"/>
        <w:wordWrap/>
        <w:overflowPunct/>
        <w:topLinePunct w:val="0"/>
        <w:autoSpaceDE w:val="0"/>
        <w:autoSpaceDN w:val="0"/>
        <w:bidi w:val="0"/>
        <w:adjustRightInd w:val="0"/>
        <w:snapToGrid w:val="0"/>
        <w:spacing w:before="104" w:line="560" w:lineRule="exact"/>
        <w:ind w:right="210" w:firstLine="684" w:firstLineChars="200"/>
        <w:jc w:val="both"/>
        <w:textAlignment w:val="baseline"/>
        <w:rPr>
          <w:rFonts w:hint="eastAsia" w:ascii="Times New Roman" w:hAnsi="Times New Roman" w:eastAsia="仿宋" w:cs="仿宋"/>
          <w:sz w:val="32"/>
          <w:szCs w:val="32"/>
        </w:rPr>
      </w:pPr>
      <w:r>
        <w:rPr>
          <w:rFonts w:hint="eastAsia" w:ascii="Times New Roman" w:hAnsi="Times New Roman" w:eastAsia="仿宋" w:cs="仿宋"/>
          <w:spacing w:val="11"/>
          <w:sz w:val="32"/>
          <w:szCs w:val="32"/>
        </w:rPr>
        <w:t>根据</w:t>
      </w:r>
      <w:r>
        <w:rPr>
          <w:rFonts w:hint="eastAsia" w:ascii="Times New Roman" w:hAnsi="Times New Roman" w:eastAsia="仿宋" w:cs="仿宋"/>
          <w:spacing w:val="11"/>
          <w:sz w:val="32"/>
          <w:szCs w:val="32"/>
          <w:lang w:eastAsia="zh-CN"/>
        </w:rPr>
        <w:t>《</w:t>
      </w:r>
      <w:r>
        <w:rPr>
          <w:rFonts w:hint="eastAsia" w:ascii="Times New Roman" w:hAnsi="Times New Roman" w:eastAsia="仿宋" w:cs="仿宋"/>
          <w:spacing w:val="6"/>
          <w:sz w:val="32"/>
          <w:szCs w:val="32"/>
          <w:lang w:val="en-US" w:eastAsia="zh-CN"/>
        </w:rPr>
        <w:t>2026年提前下达</w:t>
      </w:r>
      <w:r>
        <w:rPr>
          <w:rFonts w:hint="eastAsia" w:ascii="Times New Roman" w:hAnsi="Times New Roman" w:eastAsia="仿宋" w:cs="仿宋"/>
          <w:spacing w:val="6"/>
          <w:sz w:val="32"/>
          <w:szCs w:val="32"/>
        </w:rPr>
        <w:t>农业防灾减灾和水利救灾资金(动物</w:t>
      </w:r>
      <w:r>
        <w:rPr>
          <w:rFonts w:hint="eastAsia" w:ascii="Times New Roman" w:hAnsi="Times New Roman" w:eastAsia="仿宋" w:cs="仿宋"/>
          <w:spacing w:val="9"/>
          <w:sz w:val="32"/>
          <w:szCs w:val="32"/>
        </w:rPr>
        <w:t>防疫补助)实施方案</w:t>
      </w:r>
      <w:r>
        <w:rPr>
          <w:rFonts w:hint="eastAsia" w:ascii="Times New Roman" w:hAnsi="Times New Roman" w:eastAsia="仿宋" w:cs="仿宋"/>
          <w:spacing w:val="9"/>
          <w:sz w:val="32"/>
          <w:szCs w:val="32"/>
          <w:lang w:eastAsia="zh-CN"/>
        </w:rPr>
        <w:t>的通知</w:t>
      </w:r>
      <w:r>
        <w:rPr>
          <w:rFonts w:hint="eastAsia" w:ascii="Times New Roman" w:hAnsi="Times New Roman" w:eastAsia="仿宋" w:cs="仿宋"/>
          <w:spacing w:val="11"/>
          <w:sz w:val="32"/>
          <w:szCs w:val="32"/>
          <w:lang w:eastAsia="zh-CN"/>
        </w:rPr>
        <w:t>》</w:t>
      </w:r>
      <w:r>
        <w:rPr>
          <w:rFonts w:hint="eastAsia" w:ascii="Times New Roman" w:hAnsi="Times New Roman" w:eastAsia="仿宋" w:cs="仿宋"/>
          <w:spacing w:val="9"/>
          <w:sz w:val="32"/>
          <w:szCs w:val="32"/>
        </w:rPr>
        <w:t>(黑农厅联发〔2025〕</w:t>
      </w:r>
      <w:r>
        <w:rPr>
          <w:rFonts w:hint="eastAsia" w:ascii="Times New Roman" w:hAnsi="Times New Roman" w:eastAsia="仿宋" w:cs="仿宋"/>
          <w:spacing w:val="9"/>
          <w:sz w:val="32"/>
          <w:szCs w:val="32"/>
          <w:lang w:val="en-US" w:eastAsia="zh-CN"/>
        </w:rPr>
        <w:t>350</w:t>
      </w:r>
      <w:r>
        <w:rPr>
          <w:rFonts w:hint="eastAsia" w:ascii="Times New Roman" w:hAnsi="Times New Roman" w:eastAsia="仿宋" w:cs="仿宋"/>
          <w:spacing w:val="9"/>
          <w:sz w:val="32"/>
          <w:szCs w:val="32"/>
        </w:rPr>
        <w:t>号)</w:t>
      </w:r>
      <w:r>
        <w:rPr>
          <w:rFonts w:hint="eastAsia" w:ascii="Times New Roman" w:hAnsi="Times New Roman" w:eastAsia="仿宋" w:cs="仿宋"/>
          <w:spacing w:val="12"/>
          <w:sz w:val="32"/>
          <w:szCs w:val="32"/>
        </w:rPr>
        <w:t>等有关文件要求，为贯彻落实国家动物防疫政策，</w:t>
      </w:r>
      <w:r>
        <w:rPr>
          <w:rFonts w:hint="eastAsia" w:ascii="Times New Roman" w:hAnsi="Times New Roman" w:eastAsia="仿宋" w:cs="仿宋"/>
          <w:spacing w:val="11"/>
          <w:sz w:val="32"/>
          <w:szCs w:val="32"/>
        </w:rPr>
        <w:t>切实做好我县</w:t>
      </w:r>
      <w:r>
        <w:rPr>
          <w:rFonts w:hint="eastAsia" w:ascii="Times New Roman" w:hAnsi="Times New Roman" w:eastAsia="仿宋" w:cs="仿宋"/>
          <w:spacing w:val="12"/>
          <w:sz w:val="32"/>
          <w:szCs w:val="32"/>
        </w:rPr>
        <w:t>重大动物疫病防控工作，</w:t>
      </w:r>
      <w:r>
        <w:rPr>
          <w:rFonts w:hint="eastAsia" w:ascii="Times New Roman" w:hAnsi="Times New Roman" w:eastAsia="仿宋" w:cs="仿宋"/>
          <w:spacing w:val="12"/>
          <w:sz w:val="32"/>
          <w:szCs w:val="32"/>
          <w:lang w:eastAsia="zh-CN"/>
        </w:rPr>
        <w:t>维护畜牧产业安全和公共卫生安全，</w:t>
      </w:r>
      <w:r>
        <w:rPr>
          <w:rFonts w:hint="eastAsia" w:ascii="Times New Roman" w:hAnsi="Times New Roman" w:eastAsia="仿宋" w:cs="仿宋"/>
          <w:spacing w:val="12"/>
          <w:sz w:val="32"/>
          <w:szCs w:val="32"/>
        </w:rPr>
        <w:t>结</w:t>
      </w:r>
      <w:r>
        <w:rPr>
          <w:rFonts w:hint="eastAsia" w:ascii="Times New Roman" w:hAnsi="Times New Roman" w:eastAsia="仿宋" w:cs="仿宋"/>
          <w:spacing w:val="7"/>
          <w:sz w:val="32"/>
          <w:szCs w:val="32"/>
        </w:rPr>
        <w:t>合我县工作实际，制定本方案。</w:t>
      </w:r>
    </w:p>
    <w:p w14:paraId="3B8791F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黑体" w:hAnsi="黑体" w:eastAsia="黑体" w:cs="Times New Roman"/>
          <w:snapToGrid/>
          <w:kern w:val="2"/>
          <w:sz w:val="32"/>
          <w:szCs w:val="24"/>
          <w:lang w:eastAsia="zh-CN"/>
        </w:rPr>
      </w:pPr>
      <w:r>
        <w:rPr>
          <w:rFonts w:hint="eastAsia" w:ascii="黑体" w:hAnsi="黑体" w:eastAsia="黑体" w:cs="Times New Roman"/>
          <w:snapToGrid/>
          <w:kern w:val="2"/>
          <w:sz w:val="32"/>
          <w:szCs w:val="24"/>
          <w:lang w:eastAsia="zh-CN"/>
        </w:rPr>
        <w:t>一、强制免疫补助</w:t>
      </w:r>
    </w:p>
    <w:p w14:paraId="6651552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楷体" w:hAnsi="楷体" w:eastAsia="楷体" w:cs="Times New Roman"/>
          <w:snapToGrid/>
          <w:kern w:val="2"/>
          <w:sz w:val="32"/>
          <w:szCs w:val="24"/>
          <w:lang w:eastAsia="zh-CN"/>
        </w:rPr>
      </w:pPr>
      <w:r>
        <w:rPr>
          <w:rFonts w:hint="eastAsia" w:ascii="楷体" w:hAnsi="楷体" w:eastAsia="楷体" w:cs="Times New Roman"/>
          <w:snapToGrid/>
          <w:kern w:val="2"/>
          <w:sz w:val="32"/>
          <w:szCs w:val="24"/>
          <w:lang w:eastAsia="zh-CN"/>
        </w:rPr>
        <w:t>（一）实施目标</w:t>
      </w:r>
    </w:p>
    <w:p w14:paraId="36CCAC41">
      <w:pPr>
        <w:pStyle w:val="3"/>
        <w:keepNext w:val="0"/>
        <w:keepLines w:val="0"/>
        <w:pageBreakBefore w:val="0"/>
        <w:widowControl/>
        <w:kinsoku w:val="0"/>
        <w:wordWrap/>
        <w:overflowPunct/>
        <w:topLinePunct w:val="0"/>
        <w:autoSpaceDE w:val="0"/>
        <w:autoSpaceDN w:val="0"/>
        <w:bidi w:val="0"/>
        <w:adjustRightInd w:val="0"/>
        <w:snapToGrid w:val="0"/>
        <w:spacing w:before="104" w:line="560" w:lineRule="exact"/>
        <w:ind w:right="210" w:firstLine="684" w:firstLineChars="200"/>
        <w:jc w:val="both"/>
        <w:textAlignment w:val="baseline"/>
        <w:rPr>
          <w:rFonts w:hint="eastAsia" w:ascii="Times New Roman" w:hAnsi="Times New Roman" w:eastAsia="仿宋" w:cs="仿宋"/>
          <w:spacing w:val="11"/>
          <w:sz w:val="32"/>
          <w:szCs w:val="32"/>
        </w:rPr>
      </w:pPr>
      <w:r>
        <w:rPr>
          <w:rFonts w:hint="eastAsia" w:ascii="Times New Roman" w:hAnsi="Times New Roman" w:eastAsia="仿宋" w:cs="仿宋"/>
          <w:spacing w:val="11"/>
          <w:sz w:val="32"/>
          <w:szCs w:val="32"/>
        </w:rPr>
        <w:t>通过实施强制免疫补助，全省应免畜禽免疫密度达100%</w:t>
      </w:r>
      <w:r>
        <w:rPr>
          <w:rFonts w:hint="eastAsia" w:ascii="Times New Roman" w:hAnsi="Times New Roman" w:eastAsia="仿宋" w:cs="仿宋"/>
          <w:spacing w:val="11"/>
          <w:sz w:val="32"/>
          <w:szCs w:val="32"/>
          <w:lang w:eastAsia="zh-CN"/>
        </w:rPr>
        <w:t>，</w:t>
      </w:r>
      <w:r>
        <w:rPr>
          <w:rFonts w:hint="eastAsia" w:ascii="Times New Roman" w:hAnsi="Times New Roman" w:eastAsia="仿宋" w:cs="仿宋"/>
          <w:spacing w:val="11"/>
          <w:sz w:val="32"/>
          <w:szCs w:val="32"/>
        </w:rPr>
        <w:t>免疫抗体合格率（除布病外）达70%以上，建立有效免疫屏障，确保重大动物疫情稳定。</w:t>
      </w:r>
    </w:p>
    <w:p w14:paraId="3444A66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楷体" w:hAnsi="楷体" w:eastAsia="楷体" w:cs="Times New Roman"/>
          <w:snapToGrid/>
          <w:kern w:val="2"/>
          <w:sz w:val="32"/>
          <w:szCs w:val="24"/>
          <w:lang w:eastAsia="zh-CN"/>
        </w:rPr>
      </w:pPr>
      <w:r>
        <w:rPr>
          <w:rFonts w:hint="eastAsia" w:ascii="楷体" w:hAnsi="楷体" w:eastAsia="楷体" w:cs="Times New Roman"/>
          <w:snapToGrid/>
          <w:kern w:val="2"/>
          <w:sz w:val="32"/>
          <w:szCs w:val="24"/>
          <w:lang w:eastAsia="zh-CN"/>
        </w:rPr>
        <w:t>（二）实施范围</w:t>
      </w:r>
    </w:p>
    <w:p w14:paraId="7857285A">
      <w:pPr>
        <w:keepNext w:val="0"/>
        <w:keepLines w:val="0"/>
        <w:pageBreakBefore w:val="0"/>
        <w:widowControl/>
        <w:kinsoku w:val="0"/>
        <w:wordWrap/>
        <w:overflowPunct/>
        <w:topLinePunct w:val="0"/>
        <w:autoSpaceDE w:val="0"/>
        <w:autoSpaceDN w:val="0"/>
        <w:bidi w:val="0"/>
        <w:adjustRightInd w:val="0"/>
        <w:snapToGrid w:val="0"/>
        <w:spacing w:before="185" w:line="560" w:lineRule="exact"/>
        <w:ind w:firstLine="632" w:firstLineChars="200"/>
        <w:jc w:val="both"/>
        <w:textAlignment w:val="baseline"/>
        <w:rPr>
          <w:rFonts w:hint="eastAsia" w:ascii="Times New Roman" w:hAnsi="Times New Roman" w:eastAsia="仿宋" w:cs="仿宋"/>
          <w:color w:val="auto"/>
          <w:spacing w:val="-2"/>
          <w:sz w:val="32"/>
          <w:szCs w:val="32"/>
          <w:lang w:val="en-US" w:eastAsia="zh-CN"/>
        </w:rPr>
      </w:pPr>
      <w:r>
        <w:rPr>
          <w:rFonts w:hint="eastAsia" w:ascii="Times New Roman" w:hAnsi="Times New Roman" w:eastAsia="仿宋" w:cs="仿宋"/>
          <w:color w:val="auto"/>
          <w:spacing w:val="-2"/>
          <w:sz w:val="32"/>
          <w:szCs w:val="32"/>
          <w:lang w:eastAsia="zh-CN"/>
        </w:rPr>
        <w:t>全县</w:t>
      </w:r>
      <w:r>
        <w:rPr>
          <w:rFonts w:hint="eastAsia" w:ascii="Times New Roman" w:hAnsi="Times New Roman" w:eastAsia="仿宋" w:cs="仿宋"/>
          <w:color w:val="auto"/>
          <w:spacing w:val="-2"/>
          <w:sz w:val="32"/>
          <w:szCs w:val="32"/>
          <w:lang w:val="en-US" w:eastAsia="zh-CN"/>
        </w:rPr>
        <w:t>10个乡（镇）及鹤立森工林业局8个林场。</w:t>
      </w:r>
    </w:p>
    <w:p w14:paraId="4A59BBB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default" w:ascii="楷体" w:hAnsi="楷体" w:eastAsia="楷体" w:cs="Times New Roman"/>
          <w:snapToGrid/>
          <w:kern w:val="2"/>
          <w:sz w:val="32"/>
          <w:szCs w:val="24"/>
          <w:lang w:val="en-US" w:eastAsia="zh-CN"/>
        </w:rPr>
      </w:pPr>
      <w:r>
        <w:rPr>
          <w:rFonts w:hint="eastAsia" w:ascii="楷体" w:hAnsi="楷体" w:eastAsia="楷体" w:cs="Times New Roman"/>
          <w:snapToGrid/>
          <w:kern w:val="2"/>
          <w:sz w:val="32"/>
          <w:szCs w:val="24"/>
          <w:lang w:eastAsia="zh-CN"/>
        </w:rPr>
        <w:t>（三）资金用途</w:t>
      </w:r>
      <w:r>
        <w:rPr>
          <w:rFonts w:hint="eastAsia" w:ascii="楷体" w:hAnsi="楷体" w:eastAsia="楷体" w:cs="Times New Roman"/>
          <w:snapToGrid/>
          <w:kern w:val="2"/>
          <w:sz w:val="32"/>
          <w:szCs w:val="24"/>
          <w:lang w:val="en-US" w:eastAsia="zh-CN"/>
        </w:rPr>
        <w:t xml:space="preserve">                                                       </w:t>
      </w:r>
    </w:p>
    <w:p w14:paraId="26AB5EA2">
      <w:pPr>
        <w:keepNext w:val="0"/>
        <w:keepLines w:val="0"/>
        <w:pageBreakBefore w:val="0"/>
        <w:widowControl/>
        <w:kinsoku w:val="0"/>
        <w:wordWrap/>
        <w:overflowPunct/>
        <w:topLinePunct w:val="0"/>
        <w:autoSpaceDE w:val="0"/>
        <w:autoSpaceDN w:val="0"/>
        <w:bidi w:val="0"/>
        <w:adjustRightInd w:val="0"/>
        <w:snapToGrid w:val="0"/>
        <w:spacing w:before="188" w:line="560" w:lineRule="exact"/>
        <w:ind w:firstLine="684" w:firstLineChars="200"/>
        <w:jc w:val="both"/>
        <w:textAlignment w:val="baseline"/>
        <w:rPr>
          <w:rFonts w:hint="eastAsia" w:ascii="Times New Roman" w:hAnsi="Times New Roman" w:eastAsia="仿宋" w:cs="仿宋"/>
          <w:color w:val="auto"/>
          <w:spacing w:val="6"/>
          <w:sz w:val="32"/>
          <w:szCs w:val="32"/>
          <w:lang w:eastAsia="zh-CN"/>
        </w:rPr>
      </w:pPr>
      <w:r>
        <w:rPr>
          <w:rFonts w:hint="eastAsia" w:ascii="Times New Roman" w:hAnsi="Times New Roman" w:eastAsia="仿宋" w:cs="仿宋"/>
          <w:snapToGrid w:val="0"/>
          <w:color w:val="000000"/>
          <w:spacing w:val="11"/>
          <w:kern w:val="0"/>
          <w:sz w:val="32"/>
          <w:szCs w:val="32"/>
          <w:lang w:val="en-US" w:eastAsia="en-US" w:bidi="ar-SA"/>
        </w:rPr>
        <w:t>用于全</w:t>
      </w:r>
      <w:r>
        <w:rPr>
          <w:rFonts w:hint="eastAsia" w:ascii="Times New Roman" w:hAnsi="Times New Roman" w:eastAsia="仿宋" w:cs="仿宋"/>
          <w:snapToGrid w:val="0"/>
          <w:color w:val="000000"/>
          <w:spacing w:val="11"/>
          <w:kern w:val="0"/>
          <w:sz w:val="32"/>
          <w:szCs w:val="32"/>
          <w:lang w:val="en-US" w:eastAsia="zh-CN" w:bidi="ar-SA"/>
        </w:rPr>
        <w:t>县</w:t>
      </w:r>
      <w:r>
        <w:rPr>
          <w:rFonts w:hint="eastAsia" w:ascii="Times New Roman" w:hAnsi="Times New Roman" w:eastAsia="仿宋" w:cs="仿宋"/>
          <w:snapToGrid w:val="0"/>
          <w:color w:val="000000"/>
          <w:spacing w:val="11"/>
          <w:kern w:val="0"/>
          <w:sz w:val="32"/>
          <w:szCs w:val="32"/>
          <w:lang w:val="en-US" w:eastAsia="en-US" w:bidi="ar-SA"/>
        </w:rPr>
        <w:t>强制免疫补助。</w:t>
      </w:r>
      <w:r>
        <w:rPr>
          <w:rFonts w:hint="eastAsia" w:ascii="Times New Roman" w:hAnsi="Times New Roman" w:eastAsia="仿宋" w:cs="仿宋"/>
          <w:snapToGrid w:val="0"/>
          <w:color w:val="auto"/>
          <w:spacing w:val="11"/>
          <w:kern w:val="0"/>
          <w:sz w:val="32"/>
          <w:szCs w:val="32"/>
          <w:lang w:val="en-US" w:eastAsia="zh-CN" w:bidi="ar-SA"/>
        </w:rPr>
        <w:t>根据《黑龙江省财政厅关于提前下达2026年农业防灾减灾和水利救灾（动物防疫补助）资金的通知》（黑财指（农）</w:t>
      </w:r>
      <w:r>
        <w:rPr>
          <w:rFonts w:hint="eastAsia" w:ascii="Times New Roman" w:hAnsi="Times New Roman" w:eastAsia="仿宋" w:cs="仿宋"/>
          <w:color w:val="auto"/>
          <w:spacing w:val="9"/>
          <w:sz w:val="32"/>
          <w:szCs w:val="32"/>
        </w:rPr>
        <w:t>〔202</w:t>
      </w:r>
      <w:r>
        <w:rPr>
          <w:rFonts w:hint="eastAsia" w:ascii="Times New Roman" w:hAnsi="Times New Roman" w:eastAsia="仿宋" w:cs="仿宋"/>
          <w:color w:val="auto"/>
          <w:spacing w:val="9"/>
          <w:sz w:val="32"/>
          <w:szCs w:val="32"/>
          <w:lang w:val="en-US" w:eastAsia="zh-CN"/>
        </w:rPr>
        <w:t>6</w:t>
      </w:r>
      <w:r>
        <w:rPr>
          <w:rFonts w:hint="eastAsia" w:ascii="Times New Roman" w:hAnsi="Times New Roman" w:eastAsia="仿宋" w:cs="仿宋"/>
          <w:color w:val="auto"/>
          <w:spacing w:val="9"/>
          <w:sz w:val="32"/>
          <w:szCs w:val="32"/>
        </w:rPr>
        <w:t>〕</w:t>
      </w:r>
      <w:r>
        <w:rPr>
          <w:rFonts w:hint="eastAsia" w:ascii="Times New Roman" w:hAnsi="Times New Roman" w:eastAsia="仿宋" w:cs="仿宋"/>
          <w:color w:val="auto"/>
          <w:spacing w:val="9"/>
          <w:sz w:val="32"/>
          <w:szCs w:val="32"/>
          <w:lang w:val="en-US" w:eastAsia="zh-CN"/>
        </w:rPr>
        <w:t>21号</w:t>
      </w:r>
      <w:r>
        <w:rPr>
          <w:rFonts w:hint="eastAsia" w:ascii="Times New Roman" w:hAnsi="Times New Roman" w:eastAsia="仿宋" w:cs="仿宋"/>
          <w:snapToGrid w:val="0"/>
          <w:color w:val="auto"/>
          <w:spacing w:val="11"/>
          <w:kern w:val="0"/>
          <w:sz w:val="32"/>
          <w:szCs w:val="32"/>
          <w:lang w:val="en-US" w:eastAsia="zh-CN" w:bidi="ar-SA"/>
        </w:rPr>
        <w:t>）的资金分配情况，下达给我县的强制免疫补助资金共88.55万元，</w:t>
      </w:r>
      <w:r>
        <w:rPr>
          <w:rFonts w:hint="eastAsia" w:ascii="Times New Roman" w:hAnsi="Times New Roman" w:eastAsia="仿宋" w:cs="仿宋"/>
          <w:snapToGrid w:val="0"/>
          <w:color w:val="000000"/>
          <w:spacing w:val="11"/>
          <w:kern w:val="0"/>
          <w:sz w:val="32"/>
          <w:szCs w:val="32"/>
          <w:lang w:val="en-US" w:eastAsia="en-US" w:bidi="ar-SA"/>
        </w:rPr>
        <w:t>统筹用于</w:t>
      </w:r>
      <w:r>
        <w:rPr>
          <w:rFonts w:hint="eastAsia" w:ascii="Times New Roman" w:hAnsi="Times New Roman" w:eastAsia="仿宋" w:cs="仿宋"/>
          <w:snapToGrid w:val="0"/>
          <w:color w:val="000000"/>
          <w:spacing w:val="11"/>
          <w:kern w:val="0"/>
          <w:sz w:val="32"/>
          <w:szCs w:val="32"/>
          <w:lang w:val="en-US" w:eastAsia="zh-CN" w:bidi="ar-SA"/>
        </w:rPr>
        <w:t>全</w:t>
      </w:r>
      <w:r>
        <w:rPr>
          <w:rFonts w:hint="eastAsia" w:ascii="Times New Roman" w:hAnsi="Times New Roman" w:eastAsia="仿宋" w:cs="仿宋"/>
          <w:snapToGrid w:val="0"/>
          <w:color w:val="000000"/>
          <w:spacing w:val="11"/>
          <w:kern w:val="0"/>
          <w:sz w:val="32"/>
          <w:szCs w:val="32"/>
          <w:lang w:val="en-US" w:eastAsia="en-US" w:bidi="ar-SA"/>
        </w:rPr>
        <w:t>县动物疫病强制免疫疫苗采购、储存、注射及免疫效果监测评价、疫病监测和净化、人员防护等相关防控工作，以及实施强制免疫计划、</w:t>
      </w:r>
      <w:r>
        <w:rPr>
          <w:rFonts w:hint="eastAsia" w:ascii="Times New Roman" w:hAnsi="Times New Roman" w:eastAsia="仿宋" w:cs="仿宋"/>
          <w:snapToGrid w:val="0"/>
          <w:color w:val="auto"/>
          <w:spacing w:val="11"/>
          <w:kern w:val="0"/>
          <w:sz w:val="32"/>
          <w:szCs w:val="32"/>
          <w:lang w:val="en-US" w:eastAsia="en-US" w:bidi="ar-SA"/>
        </w:rPr>
        <w:t>开展</w:t>
      </w:r>
      <w:r>
        <w:rPr>
          <w:rFonts w:hint="eastAsia" w:ascii="Times New Roman" w:hAnsi="Times New Roman" w:eastAsia="仿宋" w:cs="仿宋"/>
          <w:snapToGrid w:val="0"/>
          <w:color w:val="auto"/>
          <w:spacing w:val="11"/>
          <w:kern w:val="0"/>
          <w:sz w:val="32"/>
          <w:szCs w:val="32"/>
          <w:lang w:val="en-US" w:eastAsia="zh-CN" w:bidi="ar-SA"/>
        </w:rPr>
        <w:t>防疫社会化</w:t>
      </w:r>
      <w:r>
        <w:rPr>
          <w:rFonts w:hint="eastAsia" w:ascii="Times New Roman" w:hAnsi="Times New Roman" w:eastAsia="仿宋" w:cs="仿宋"/>
          <w:snapToGrid w:val="0"/>
          <w:color w:val="auto"/>
          <w:spacing w:val="11"/>
          <w:kern w:val="0"/>
          <w:sz w:val="32"/>
          <w:szCs w:val="32"/>
          <w:lang w:val="en-US" w:eastAsia="en-US" w:bidi="ar-SA"/>
        </w:rPr>
        <w:t>等方面</w:t>
      </w:r>
      <w:r>
        <w:rPr>
          <w:rFonts w:hint="eastAsia" w:ascii="Times New Roman" w:hAnsi="Times New Roman" w:eastAsia="仿宋" w:cs="仿宋"/>
          <w:snapToGrid w:val="0"/>
          <w:color w:val="auto"/>
          <w:spacing w:val="11"/>
          <w:kern w:val="0"/>
          <w:sz w:val="32"/>
          <w:szCs w:val="32"/>
          <w:lang w:val="en-US" w:eastAsia="zh-CN" w:bidi="ar-SA"/>
        </w:rPr>
        <w:t>。</w:t>
      </w:r>
    </w:p>
    <w:p w14:paraId="7590BA6F">
      <w:pPr>
        <w:pStyle w:val="3"/>
        <w:keepNext w:val="0"/>
        <w:keepLines w:val="0"/>
        <w:pageBreakBefore w:val="0"/>
        <w:widowControl/>
        <w:kinsoku w:val="0"/>
        <w:wordWrap/>
        <w:overflowPunct/>
        <w:topLinePunct w:val="0"/>
        <w:autoSpaceDE w:val="0"/>
        <w:autoSpaceDN w:val="0"/>
        <w:bidi w:val="0"/>
        <w:adjustRightInd w:val="0"/>
        <w:snapToGrid w:val="0"/>
        <w:spacing w:before="104" w:line="560" w:lineRule="exact"/>
        <w:ind w:right="210" w:firstLine="664" w:firstLineChars="200"/>
        <w:jc w:val="both"/>
        <w:textAlignment w:val="baseline"/>
        <w:rPr>
          <w:rFonts w:hint="eastAsia" w:ascii="Times New Roman" w:hAnsi="Times New Roman" w:eastAsia="仿宋" w:cs="仿宋"/>
          <w:spacing w:val="11"/>
          <w:sz w:val="32"/>
          <w:szCs w:val="32"/>
        </w:rPr>
      </w:pPr>
      <w:r>
        <w:rPr>
          <w:rFonts w:hint="eastAsia" w:ascii="Times New Roman" w:hAnsi="Times New Roman" w:eastAsia="仿宋" w:cs="仿宋"/>
          <w:spacing w:val="6"/>
          <w:sz w:val="32"/>
          <w:szCs w:val="32"/>
          <w:lang w:val="en-US" w:eastAsia="zh-CN"/>
        </w:rPr>
        <w:t>1.</w:t>
      </w:r>
      <w:r>
        <w:rPr>
          <w:rFonts w:hint="eastAsia" w:ascii="Times New Roman" w:hAnsi="Times New Roman" w:eastAsia="仿宋" w:cs="仿宋"/>
          <w:spacing w:val="11"/>
          <w:sz w:val="32"/>
          <w:szCs w:val="32"/>
          <w:lang w:eastAsia="zh-CN"/>
        </w:rPr>
        <w:t>强制免疫疫病补助。按照省动物疫病强制免疫计划，实施强制免疫。对政府购买的和符合“先打后补”条件养殖场（户）自购的强制免疫疫苗予以补助。深入推进强制免疫“先打后补”政策实施，引导养殖场（户）落实动物防疫主体责任。对目前暂不符合“先打后补”条件的养殖场（户）所需疫苗，继续实行市（地）农业农村主管部门招标确定疫苗中标企业数量、疫苗价格、中标企业疫苗供应范围，由</w:t>
      </w:r>
      <w:r>
        <w:rPr>
          <w:rFonts w:hint="eastAsia" w:ascii="Times New Roman" w:hAnsi="Times New Roman" w:eastAsia="仿宋" w:cs="仿宋"/>
          <w:spacing w:val="11"/>
          <w:sz w:val="32"/>
          <w:szCs w:val="32"/>
        </w:rPr>
        <w:t>县</w:t>
      </w:r>
      <w:r>
        <w:rPr>
          <w:rFonts w:hint="eastAsia" w:ascii="Times New Roman" w:hAnsi="Times New Roman" w:eastAsia="仿宋" w:cs="仿宋"/>
          <w:spacing w:val="11"/>
          <w:sz w:val="32"/>
          <w:szCs w:val="32"/>
          <w:lang w:eastAsia="zh-CN"/>
        </w:rPr>
        <w:t>动物疫病预防控制中心</w:t>
      </w:r>
      <w:r>
        <w:rPr>
          <w:rFonts w:hint="eastAsia" w:ascii="Times New Roman" w:hAnsi="Times New Roman" w:eastAsia="仿宋" w:cs="仿宋"/>
          <w:spacing w:val="11"/>
          <w:sz w:val="32"/>
          <w:szCs w:val="32"/>
        </w:rPr>
        <w:t>据实采购并结算疫苗资金。</w:t>
      </w:r>
    </w:p>
    <w:p w14:paraId="53E9A87F">
      <w:pPr>
        <w:pStyle w:val="3"/>
        <w:keepNext w:val="0"/>
        <w:keepLines w:val="0"/>
        <w:pageBreakBefore w:val="0"/>
        <w:widowControl/>
        <w:kinsoku w:val="0"/>
        <w:wordWrap/>
        <w:overflowPunct/>
        <w:topLinePunct w:val="0"/>
        <w:autoSpaceDE w:val="0"/>
        <w:autoSpaceDN w:val="0"/>
        <w:bidi w:val="0"/>
        <w:adjustRightInd w:val="0"/>
        <w:snapToGrid w:val="0"/>
        <w:spacing w:before="104" w:line="560" w:lineRule="exact"/>
        <w:ind w:right="210" w:firstLine="684" w:firstLineChars="200"/>
        <w:jc w:val="both"/>
        <w:textAlignment w:val="baseline"/>
        <w:rPr>
          <w:rFonts w:hint="eastAsia" w:ascii="Times New Roman" w:hAnsi="Times New Roman" w:eastAsia="仿宋" w:cs="仿宋"/>
          <w:spacing w:val="11"/>
          <w:sz w:val="32"/>
          <w:szCs w:val="32"/>
        </w:rPr>
      </w:pPr>
      <w:r>
        <w:rPr>
          <w:rFonts w:hint="eastAsia" w:ascii="Times New Roman" w:hAnsi="Times New Roman" w:eastAsia="仿宋" w:cs="仿宋"/>
          <w:spacing w:val="11"/>
          <w:sz w:val="32"/>
          <w:szCs w:val="32"/>
          <w:lang w:val="en-US" w:eastAsia="zh-CN"/>
        </w:rPr>
        <w:t>2.</w:t>
      </w:r>
      <w:r>
        <w:rPr>
          <w:rFonts w:hint="eastAsia" w:ascii="Times New Roman" w:hAnsi="Times New Roman" w:eastAsia="仿宋" w:cs="仿宋"/>
          <w:spacing w:val="11"/>
          <w:sz w:val="32"/>
          <w:szCs w:val="32"/>
        </w:rPr>
        <w:t>免疫效果监测评价、疫病监测和净化、人员防护等补助。对承担强制免疫效</w:t>
      </w:r>
      <w:bookmarkStart w:id="0" w:name="_GoBack"/>
      <w:bookmarkEnd w:id="0"/>
      <w:r>
        <w:rPr>
          <w:rFonts w:hint="eastAsia" w:ascii="Times New Roman" w:hAnsi="Times New Roman" w:eastAsia="仿宋" w:cs="仿宋"/>
          <w:spacing w:val="11"/>
          <w:sz w:val="32"/>
          <w:szCs w:val="32"/>
        </w:rPr>
        <w:t>果监测评价、疫病监测和净化以及购买防范动物防疫人员感染人兽共患病防护物资的补助。</w:t>
      </w:r>
    </w:p>
    <w:p w14:paraId="3FEA2060">
      <w:pPr>
        <w:keepNext w:val="0"/>
        <w:keepLines w:val="0"/>
        <w:pageBreakBefore w:val="0"/>
        <w:wordWrap/>
        <w:overflowPunct/>
        <w:topLinePunct w:val="0"/>
        <w:bidi w:val="0"/>
        <w:spacing w:after="0" w:line="560" w:lineRule="exact"/>
        <w:ind w:firstLine="684" w:firstLineChars="200"/>
        <w:jc w:val="both"/>
        <w:outlineLvl w:val="0"/>
        <w:rPr>
          <w:rFonts w:hint="eastAsia" w:ascii="Times New Roman" w:hAnsi="Times New Roman" w:eastAsia="仿宋" w:cs="仿宋"/>
          <w:color w:val="auto"/>
          <w:spacing w:val="11"/>
          <w:sz w:val="32"/>
          <w:szCs w:val="32"/>
        </w:rPr>
      </w:pPr>
      <w:r>
        <w:rPr>
          <w:rFonts w:hint="eastAsia" w:ascii="Times New Roman" w:hAnsi="Times New Roman" w:eastAsia="仿宋" w:cs="仿宋"/>
          <w:color w:val="auto"/>
          <w:spacing w:val="11"/>
          <w:sz w:val="32"/>
          <w:szCs w:val="32"/>
          <w:lang w:val="en-US" w:eastAsia="zh-CN"/>
        </w:rPr>
        <w:t>3.</w:t>
      </w:r>
      <w:r>
        <w:rPr>
          <w:rFonts w:hint="eastAsia" w:ascii="Times New Roman" w:hAnsi="Times New Roman" w:eastAsia="仿宋" w:cs="仿宋"/>
          <w:color w:val="auto"/>
          <w:spacing w:val="11"/>
          <w:sz w:val="32"/>
          <w:szCs w:val="32"/>
        </w:rPr>
        <w:t>防疫社会化服务补助。对承担散养户和中小规模养殖场强制免疫服务的主体村级防疫</w:t>
      </w:r>
      <w:r>
        <w:rPr>
          <w:rFonts w:hint="eastAsia" w:ascii="Times New Roman" w:hAnsi="Times New Roman" w:eastAsia="仿宋" w:cs="仿宋"/>
          <w:color w:val="auto"/>
          <w:spacing w:val="11"/>
          <w:sz w:val="32"/>
          <w:szCs w:val="32"/>
          <w:lang w:val="en-US" w:eastAsia="zh-CN"/>
        </w:rPr>
        <w:t>员予以补助。</w:t>
      </w:r>
      <w:r>
        <w:rPr>
          <w:rFonts w:hint="eastAsia" w:ascii="Times New Roman" w:hAnsi="Times New Roman" w:eastAsia="仿宋" w:cs="仿宋"/>
          <w:color w:val="auto"/>
          <w:sz w:val="32"/>
          <w:szCs w:val="32"/>
          <w:lang w:eastAsia="zh-CN"/>
        </w:rPr>
        <w:t>防疫社会化服务补助资金，结合各乡镇、鹤立林业局的畜禽养殖量、工作任务量等因素进行合理分配使用。对全县</w:t>
      </w:r>
      <w:r>
        <w:rPr>
          <w:rFonts w:hint="eastAsia" w:ascii="Times New Roman" w:hAnsi="Times New Roman" w:eastAsia="仿宋" w:cs="仿宋"/>
          <w:color w:val="auto"/>
          <w:sz w:val="32"/>
          <w:szCs w:val="32"/>
          <w:lang w:val="en-US" w:eastAsia="zh-CN"/>
        </w:rPr>
        <w:t>10个乡镇共137个行政村、</w:t>
      </w:r>
      <w:r>
        <w:rPr>
          <w:rFonts w:hint="eastAsia" w:ascii="Times New Roman" w:hAnsi="Times New Roman" w:eastAsia="仿宋" w:cs="仿宋"/>
          <w:color w:val="auto"/>
          <w:sz w:val="32"/>
          <w:szCs w:val="32"/>
          <w:lang w:eastAsia="zh-CN"/>
        </w:rPr>
        <w:t>鹤立林业局</w:t>
      </w:r>
      <w:r>
        <w:rPr>
          <w:rFonts w:hint="eastAsia" w:ascii="Times New Roman" w:hAnsi="Times New Roman" w:eastAsia="仿宋" w:cs="仿宋"/>
          <w:color w:val="auto"/>
          <w:sz w:val="32"/>
          <w:szCs w:val="32"/>
          <w:lang w:val="en-US" w:eastAsia="zh-CN"/>
        </w:rPr>
        <w:t>8个</w:t>
      </w:r>
      <w:r>
        <w:rPr>
          <w:rFonts w:hint="eastAsia" w:ascii="Times New Roman" w:hAnsi="Times New Roman" w:eastAsia="仿宋" w:cs="仿宋"/>
          <w:color w:val="auto"/>
          <w:sz w:val="32"/>
          <w:szCs w:val="32"/>
          <w:lang w:eastAsia="zh-CN"/>
        </w:rPr>
        <w:t>林场，每个村（林场）平均按0.19万元予以补助。</w:t>
      </w:r>
    </w:p>
    <w:p w14:paraId="492C5DC0">
      <w:pPr>
        <w:pStyle w:val="3"/>
        <w:keepNext w:val="0"/>
        <w:keepLines w:val="0"/>
        <w:pageBreakBefore w:val="0"/>
        <w:widowControl/>
        <w:kinsoku w:val="0"/>
        <w:wordWrap/>
        <w:overflowPunct/>
        <w:topLinePunct w:val="0"/>
        <w:autoSpaceDE w:val="0"/>
        <w:autoSpaceDN w:val="0"/>
        <w:bidi w:val="0"/>
        <w:adjustRightInd w:val="0"/>
        <w:snapToGrid w:val="0"/>
        <w:spacing w:before="104" w:line="560" w:lineRule="exact"/>
        <w:ind w:right="210" w:firstLine="684" w:firstLineChars="200"/>
        <w:jc w:val="both"/>
        <w:textAlignment w:val="baseline"/>
        <w:rPr>
          <w:rFonts w:hint="eastAsia" w:ascii="Times New Roman" w:hAnsi="Times New Roman" w:eastAsia="仿宋" w:cs="仿宋"/>
          <w:spacing w:val="11"/>
          <w:sz w:val="32"/>
          <w:szCs w:val="32"/>
          <w:lang w:eastAsia="zh-CN"/>
        </w:rPr>
      </w:pPr>
      <w:r>
        <w:rPr>
          <w:rFonts w:hint="eastAsia" w:ascii="Times New Roman" w:hAnsi="Times New Roman" w:eastAsia="仿宋" w:cs="仿宋"/>
          <w:spacing w:val="11"/>
          <w:sz w:val="32"/>
          <w:szCs w:val="32"/>
          <w:lang w:eastAsia="zh-CN"/>
        </w:rPr>
        <w:t>以上资金统筹使用，</w:t>
      </w:r>
      <w:r>
        <w:rPr>
          <w:rFonts w:hint="eastAsia" w:ascii="Times New Roman" w:hAnsi="Times New Roman" w:eastAsia="仿宋"/>
          <w:color w:val="auto"/>
          <w:sz w:val="32"/>
          <w:szCs w:val="32"/>
        </w:rPr>
        <w:t>资金不足部分</w:t>
      </w:r>
      <w:r>
        <w:rPr>
          <w:rFonts w:hint="eastAsia" w:ascii="Times New Roman" w:hAnsi="Times New Roman" w:eastAsia="仿宋"/>
          <w:color w:val="auto"/>
          <w:sz w:val="32"/>
          <w:szCs w:val="32"/>
          <w:lang w:eastAsia="zh-CN"/>
        </w:rPr>
        <w:t>使用</w:t>
      </w:r>
      <w:r>
        <w:rPr>
          <w:rFonts w:hint="eastAsia" w:ascii="Times New Roman" w:hAnsi="Times New Roman"/>
          <w:color w:val="auto"/>
          <w:sz w:val="32"/>
          <w:szCs w:val="32"/>
          <w:lang w:val="en-US" w:eastAsia="zh-CN"/>
        </w:rPr>
        <w:t>往年</w:t>
      </w:r>
      <w:r>
        <w:rPr>
          <w:rFonts w:hint="eastAsia" w:ascii="Times New Roman" w:hAnsi="Times New Roman" w:eastAsia="仿宋"/>
          <w:color w:val="auto"/>
          <w:sz w:val="32"/>
          <w:szCs w:val="32"/>
          <w:lang w:val="en-US" w:eastAsia="zh-CN"/>
        </w:rPr>
        <w:t>结余资金</w:t>
      </w:r>
      <w:r>
        <w:rPr>
          <w:rFonts w:hint="eastAsia" w:ascii="Times New Roman" w:hAnsi="Times New Roman" w:eastAsia="仿宋" w:cs="仿宋"/>
          <w:color w:val="auto"/>
          <w:spacing w:val="11"/>
          <w:sz w:val="32"/>
          <w:szCs w:val="32"/>
          <w:lang w:eastAsia="zh-CN"/>
        </w:rPr>
        <w:t>，</w:t>
      </w:r>
      <w:r>
        <w:rPr>
          <w:rFonts w:hint="eastAsia" w:ascii="Times New Roman" w:hAnsi="Times New Roman" w:cs="仿宋"/>
          <w:spacing w:val="11"/>
          <w:sz w:val="32"/>
          <w:szCs w:val="32"/>
          <w:lang w:eastAsia="zh-CN"/>
        </w:rPr>
        <w:t>本年度</w:t>
      </w:r>
      <w:r>
        <w:rPr>
          <w:rFonts w:hint="eastAsia" w:ascii="Times New Roman" w:hAnsi="Times New Roman" w:eastAsia="仿宋" w:cs="仿宋"/>
          <w:spacing w:val="11"/>
          <w:sz w:val="32"/>
          <w:szCs w:val="32"/>
          <w:lang w:eastAsia="zh-CN"/>
        </w:rPr>
        <w:t>结余资金可结转下一年度继续使用。强制免疫工作具体由县动物疫病预防控制中心组织实施。</w:t>
      </w:r>
    </w:p>
    <w:p w14:paraId="287621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黑体" w:hAnsi="黑体" w:eastAsia="黑体" w:cs="Times New Roman"/>
          <w:snapToGrid/>
          <w:kern w:val="2"/>
          <w:sz w:val="32"/>
          <w:szCs w:val="24"/>
          <w:lang w:eastAsia="zh-CN"/>
        </w:rPr>
      </w:pPr>
      <w:r>
        <w:rPr>
          <w:rFonts w:hint="eastAsia" w:ascii="黑体" w:hAnsi="黑体" w:eastAsia="黑体" w:cs="Times New Roman"/>
          <w:snapToGrid/>
          <w:kern w:val="2"/>
          <w:sz w:val="32"/>
          <w:szCs w:val="24"/>
          <w:lang w:val="en-US" w:eastAsia="zh-CN"/>
        </w:rPr>
        <w:t>二、保障措施</w:t>
      </w:r>
    </w:p>
    <w:p w14:paraId="0F50E11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firstLine="740" w:firstLineChars="200"/>
        <w:textAlignment w:val="baseline"/>
        <w:rPr>
          <w:rFonts w:hint="eastAsia" w:ascii="Times New Roman" w:hAnsi="Times New Roman" w:eastAsia="仿宋" w:cs="仿宋"/>
          <w:spacing w:val="11"/>
          <w:sz w:val="32"/>
          <w:szCs w:val="32"/>
          <w:lang w:eastAsia="zh-CN"/>
        </w:rPr>
      </w:pPr>
      <w:r>
        <w:rPr>
          <w:rFonts w:hint="eastAsia" w:ascii="楷体_GB2312" w:hAnsi="楷体_GB2312" w:eastAsia="楷体_GB2312" w:cs="楷体_GB2312"/>
          <w:b w:val="0"/>
          <w:bCs w:val="0"/>
          <w:spacing w:val="25"/>
          <w:sz w:val="32"/>
          <w:szCs w:val="32"/>
          <w:lang w:val="en-US" w:eastAsia="zh-CN"/>
        </w:rPr>
        <w:t>（一）加强组织领导。</w:t>
      </w:r>
      <w:r>
        <w:rPr>
          <w:rFonts w:hint="eastAsia" w:ascii="Times New Roman" w:hAnsi="Times New Roman" w:eastAsia="仿宋" w:cs="仿宋"/>
          <w:spacing w:val="11"/>
          <w:sz w:val="32"/>
          <w:szCs w:val="32"/>
          <w:lang w:val="en-US" w:eastAsia="zh-CN"/>
        </w:rPr>
        <w:t>要切实提高政治站位，统一思想认识，强化组织领导，密切协作配合，</w:t>
      </w:r>
      <w:r>
        <w:rPr>
          <w:rFonts w:hint="eastAsia" w:ascii="Times New Roman" w:hAnsi="Times New Roman" w:eastAsia="仿宋" w:cs="仿宋"/>
          <w:spacing w:val="11"/>
          <w:sz w:val="32"/>
          <w:szCs w:val="32"/>
        </w:rPr>
        <w:t>确保财政支持政策落到实处。</w:t>
      </w:r>
    </w:p>
    <w:p w14:paraId="061C4A05">
      <w:pPr>
        <w:keepNext w:val="0"/>
        <w:keepLines w:val="0"/>
        <w:pageBreakBefore w:val="0"/>
        <w:wordWrap/>
        <w:overflowPunct/>
        <w:topLinePunct w:val="0"/>
        <w:bidi w:val="0"/>
        <w:spacing w:after="0" w:line="560" w:lineRule="exact"/>
        <w:ind w:right="16" w:firstLine="640" w:firstLineChars="200"/>
        <w:jc w:val="both"/>
        <w:rPr>
          <w:rFonts w:hint="eastAsia" w:ascii="Times New Roman" w:hAnsi="Times New Roman" w:eastAsia="仿宋" w:cs="仿宋"/>
          <w:sz w:val="32"/>
          <w:szCs w:val="32"/>
        </w:rPr>
      </w:pPr>
      <w:r>
        <w:rPr>
          <w:rFonts w:hint="eastAsia" w:ascii="楷体" w:hAnsi="楷体" w:eastAsia="楷体" w:cs="Times New Roman"/>
          <w:snapToGrid/>
          <w:kern w:val="2"/>
          <w:sz w:val="32"/>
          <w:szCs w:val="24"/>
          <w:lang w:eastAsia="zh-CN"/>
        </w:rPr>
        <w:t>（二）严格经费监管。</w:t>
      </w:r>
      <w:r>
        <w:rPr>
          <w:rFonts w:hint="eastAsia" w:ascii="Times New Roman" w:hAnsi="Times New Roman" w:eastAsia="仿宋" w:cs="仿宋"/>
          <w:sz w:val="32"/>
          <w:szCs w:val="32"/>
        </w:rPr>
        <w:t>要建立健全公开制度，及时向社会公开</w:t>
      </w:r>
      <w:r>
        <w:rPr>
          <w:rFonts w:hint="eastAsia" w:ascii="Times New Roman" w:hAnsi="Times New Roman" w:eastAsia="仿宋" w:cs="仿宋"/>
          <w:sz w:val="32"/>
          <w:szCs w:val="32"/>
          <w:lang w:eastAsia="zh-CN"/>
        </w:rPr>
        <w:t>补助资金的发放情况</w:t>
      </w:r>
      <w:r>
        <w:rPr>
          <w:rFonts w:hint="eastAsia" w:ascii="Times New Roman" w:hAnsi="Times New Roman" w:eastAsia="仿宋" w:cs="仿宋"/>
          <w:sz w:val="32"/>
          <w:szCs w:val="32"/>
        </w:rPr>
        <w:t>，广泛接受社会和群众监督。补助资金涉及到人到户的，要按照补助标准以惠民惠农财政补贴资金“一卡通”</w:t>
      </w:r>
      <w:r>
        <w:rPr>
          <w:rFonts w:hint="eastAsia" w:ascii="Times New Roman" w:hAnsi="Times New Roman" w:eastAsia="仿宋" w:cs="仿宋"/>
          <w:sz w:val="32"/>
          <w:szCs w:val="32"/>
          <w:lang w:eastAsia="zh-CN"/>
        </w:rPr>
        <w:t>、对公转账等</w:t>
      </w:r>
      <w:r>
        <w:rPr>
          <w:rFonts w:hint="eastAsia" w:ascii="Times New Roman" w:hAnsi="Times New Roman" w:eastAsia="仿宋" w:cs="仿宋"/>
          <w:sz w:val="32"/>
          <w:szCs w:val="32"/>
        </w:rPr>
        <w:t>形式拨付，做到补助对象精准，专款专用。</w:t>
      </w:r>
    </w:p>
    <w:p w14:paraId="7185CA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 w:cs="仿宋"/>
          <w:color w:val="auto"/>
          <w:sz w:val="32"/>
          <w:szCs w:val="32"/>
          <w:lang w:val="en-US" w:eastAsia="zh-CN"/>
        </w:rPr>
      </w:pPr>
      <w:r>
        <w:rPr>
          <w:rFonts w:hint="eastAsia" w:ascii="楷体" w:hAnsi="楷体" w:eastAsia="楷体" w:cs="Times New Roman"/>
          <w:snapToGrid/>
          <w:kern w:val="2"/>
          <w:sz w:val="32"/>
          <w:szCs w:val="24"/>
          <w:lang w:eastAsia="zh-CN"/>
        </w:rPr>
        <w:t>（三）加强绩效考核。</w:t>
      </w:r>
      <w:r>
        <w:rPr>
          <w:rFonts w:hint="eastAsia" w:ascii="Times New Roman" w:hAnsi="Times New Roman" w:eastAsia="仿宋" w:cs="仿宋"/>
          <w:sz w:val="32"/>
          <w:szCs w:val="32"/>
        </w:rPr>
        <w:t>要按照预算管理要求，完善绩效目标管理，做好绩效运行监控和绩效评价，确保财政资金安全有效。</w:t>
      </w:r>
      <w:r>
        <w:rPr>
          <w:rFonts w:hint="eastAsia" w:ascii="Times New Roman" w:hAnsi="Times New Roman" w:eastAsia="仿宋" w:cs="仿宋"/>
          <w:sz w:val="32"/>
          <w:szCs w:val="32"/>
          <w:lang w:val="en-US" w:eastAsia="zh-CN"/>
        </w:rPr>
        <w:t>县</w:t>
      </w:r>
      <w:r>
        <w:rPr>
          <w:rFonts w:hint="eastAsia" w:ascii="Times New Roman" w:hAnsi="Times New Roman" w:eastAsia="仿宋" w:cs="仿宋"/>
          <w:sz w:val="32"/>
          <w:szCs w:val="32"/>
          <w:lang w:eastAsia="zh-CN"/>
        </w:rPr>
        <w:t>动物疫病预防控制中心要</w:t>
      </w:r>
      <w:r>
        <w:rPr>
          <w:rFonts w:hint="eastAsia" w:ascii="Times New Roman" w:hAnsi="Times New Roman" w:eastAsia="仿宋" w:cs="仿宋"/>
          <w:color w:val="auto"/>
          <w:sz w:val="32"/>
          <w:szCs w:val="32"/>
          <w:lang w:val="en-US" w:eastAsia="zh-CN"/>
        </w:rPr>
        <w:t>做好实施总结并于2026年12月30日前将实施总结报告送省农业农村厅。</w:t>
      </w:r>
    </w:p>
    <w:p w14:paraId="323678C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 w:cs="仿宋"/>
          <w:color w:val="auto"/>
          <w:sz w:val="32"/>
          <w:szCs w:val="32"/>
          <w:lang w:val="en-US" w:eastAsia="zh-CN"/>
        </w:rPr>
      </w:pPr>
    </w:p>
    <w:p w14:paraId="472496F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 w:cs="仿宋"/>
          <w:color w:val="auto"/>
          <w:sz w:val="32"/>
          <w:szCs w:val="32"/>
          <w:lang w:val="en-US" w:eastAsia="zh-CN"/>
        </w:rPr>
      </w:pPr>
    </w:p>
    <w:p w14:paraId="5D1200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10C7CAF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34C3A82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5EC6CBD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74054F6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2B2481F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47AD247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000D3CB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4C2EFA0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0D074D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057D927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142BC7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 w:cs="仿宋"/>
          <w:color w:val="auto"/>
          <w:sz w:val="32"/>
          <w:szCs w:val="32"/>
          <w:lang w:val="en-US" w:eastAsia="zh-CN"/>
        </w:rPr>
      </w:pPr>
    </w:p>
    <w:p w14:paraId="0CF37BA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left"/>
        <w:textAlignment w:val="auto"/>
        <w:rPr>
          <w:rFonts w:hint="default" w:ascii="Times New Roman" w:hAnsi="Times New Roman" w:eastAsia="仿宋" w:cs="仿宋"/>
          <w:color w:val="auto"/>
          <w:sz w:val="32"/>
          <w:szCs w:val="32"/>
          <w:lang w:val="en-US" w:eastAsia="zh-CN"/>
        </w:rPr>
      </w:pPr>
    </w:p>
    <w:sectPr>
      <w:footerReference r:id="rId5" w:type="default"/>
      <w:pgSz w:w="11920" w:h="16840"/>
      <w:pgMar w:top="1417" w:right="1134" w:bottom="1417" w:left="1417" w:header="0" w:footer="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FD66A">
    <w:pPr>
      <w:spacing w:line="234" w:lineRule="auto"/>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rawingGridHorizontalSpacing w:val="167"/>
  <w:drawingGridVerticalSpacing w:val="318"/>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4D34AA7"/>
    <w:rsid w:val="0FCE3E59"/>
    <w:rsid w:val="1A3F666B"/>
    <w:rsid w:val="289238EE"/>
    <w:rsid w:val="2FBA4242"/>
    <w:rsid w:val="35EB7610"/>
    <w:rsid w:val="39AC46D5"/>
    <w:rsid w:val="436D209E"/>
    <w:rsid w:val="4A8F1D80"/>
    <w:rsid w:val="68B97345"/>
    <w:rsid w:val="6CFC5134"/>
    <w:rsid w:val="6E4B2974"/>
    <w:rsid w:val="6E873A42"/>
    <w:rsid w:val="719A5C31"/>
    <w:rsid w:val="7E486D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No Spacing1"/>
    <w:unhideWhenUsed/>
    <w:qFormat/>
    <w:uiPriority w:val="99"/>
    <w:pPr>
      <w:widowControl w:val="0"/>
      <w:spacing w:beforeLines="0" w:afterLines="0"/>
      <w:jc w:val="both"/>
    </w:pPr>
    <w:rPr>
      <w:rFonts w:hint="default" w:ascii="Calibri" w:hAnsi="Calibri" w:eastAsia="宋体" w:cs="Times New Roman"/>
      <w:kern w:val="2"/>
      <w:sz w:val="32"/>
      <w:szCs w:val="24"/>
      <w:lang w:val="en-US" w:eastAsia="zh-CN"/>
    </w:rPr>
  </w:style>
  <w:style w:type="paragraph" w:styleId="3">
    <w:name w:val="Body Text"/>
    <w:basedOn w:val="1"/>
    <w:qFormat/>
    <w:uiPriority w:val="0"/>
    <w:rPr>
      <w:rFonts w:ascii="仿宋" w:hAnsi="仿宋" w:eastAsia="仿宋" w:cs="仿宋"/>
      <w:sz w:val="27"/>
      <w:szCs w:val="27"/>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1360</Words>
  <Characters>1423</Characters>
  <TotalTime>7</TotalTime>
  <ScaleCrop>false</ScaleCrop>
  <LinksUpToDate>false</LinksUpToDate>
  <CharactersWithSpaces>1454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2026-02-10T09:27:00Z</dcterms:created>
  <dc:creator>Administrator</dc:creator>
  <cp:lastModifiedBy>下一秒～距离</cp:lastModifiedBy>
  <cp:lastPrinted>2026-09-02T04:26:14Z</cp:lastPrinted>
  <dcterms:modified xsi:type="dcterms:W3CDTF">2026-09-02T04:28:01Z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2026-02-10T09:27:10Z</vt:filetime>
  </property>
  <property fmtid="{D5CDD505-2E9C-101B-9397-08002B2CF9AE}" pid="4" name="UsrData">
    <vt:lpwstr>698a896b7fe946001f674132wl</vt:lpwstr>
  </property>
  <property fmtid="{D5CDD505-2E9C-101B-9397-08002B2CF9AE}" pid="5" name="KSOTemplateDocerSaveRecord">
    <vt:lpwstr>eyJoZGlkIjoiOGViYWFhZGU1M2I4ZTUyYTdhYmU1MmZmNjk0NTExYWIiLCJ1c2VySWQiOiIzMTk0NjUwMTkifQ==</vt:lpwstr>
  </property>
  <property fmtid="{D5CDD505-2E9C-101B-9397-08002B2CF9AE}" pid="6" name="KSOProductBuildVer">
    <vt:lpwstr>2052-12.1.0.28505</vt:lpwstr>
  </property>
  <property fmtid="{D5CDD505-2E9C-101B-9397-08002B2CF9AE}" pid="7" name="ICV">
    <vt:lpwstr>3FB153D32C4D43918B03518D323EB29E_13</vt:lpwstr>
  </property>
</Properties>
</file>