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ind w:right="-105" w:rightChars="-50"/>
        <w:jc w:val="left"/>
        <w:rPr>
          <w:rFonts w:hint="eastAsia" w:ascii="仿宋_GB2312" w:hAnsi="仿宋_GB2312"/>
          <w:sz w:val="32"/>
          <w:szCs w:val="32"/>
        </w:rPr>
      </w:pPr>
      <w:bookmarkStart w:id="0" w:name="_GoBack"/>
      <w:bookmarkEnd w:id="0"/>
      <w:r>
        <w:rPr>
          <w:rFonts w:hint="eastAsia" w:ascii="黑体" w:hAnsi="黑体" w:eastAsia="黑体"/>
          <w:sz w:val="32"/>
          <w:szCs w:val="32"/>
        </w:rPr>
        <w:t>附件</w:t>
      </w:r>
    </w:p>
    <w:p>
      <w:pPr>
        <w:autoSpaceDE w:val="0"/>
        <w:spacing w:line="560" w:lineRule="exact"/>
        <w:ind w:right="-105" w:rightChars="-5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汤原县</w:t>
      </w:r>
      <w:r>
        <w:rPr>
          <w:rFonts w:hint="eastAsia" w:ascii="方正小标宋简体" w:hAnsi="方正小标宋简体" w:eastAsia="方正小标宋简体" w:cs="方正小标宋简体"/>
          <w:b w:val="0"/>
          <w:bCs w:val="0"/>
          <w:sz w:val="44"/>
          <w:szCs w:val="44"/>
        </w:rPr>
        <w:t>告知承诺制证明事项目录</w:t>
      </w:r>
      <w:r>
        <w:rPr>
          <w:rFonts w:hint="eastAsia" w:ascii="方正小标宋简体" w:hAnsi="方正小标宋简体" w:eastAsia="方正小标宋简体" w:cs="方正小标宋简体"/>
          <w:b w:val="0"/>
          <w:bCs w:val="0"/>
          <w:sz w:val="44"/>
          <w:szCs w:val="44"/>
          <w:lang w:eastAsia="zh-CN"/>
        </w:rPr>
        <w:t>（</w:t>
      </w:r>
      <w:r>
        <w:rPr>
          <w:rFonts w:hint="default" w:ascii="Times New Roman" w:hAnsi="Times New Roman" w:eastAsia="方正小标宋简体" w:cs="Times New Roman"/>
          <w:b/>
          <w:bCs/>
          <w:sz w:val="44"/>
          <w:szCs w:val="44"/>
          <w:lang w:val="en-US" w:eastAsia="zh-CN"/>
        </w:rPr>
        <w:t>2022</w:t>
      </w:r>
      <w:r>
        <w:rPr>
          <w:rFonts w:hint="eastAsia" w:ascii="方正小标宋简体" w:hAnsi="方正小标宋简体" w:eastAsia="方正小标宋简体" w:cs="方正小标宋简体"/>
          <w:b w:val="0"/>
          <w:bCs w:val="0"/>
          <w:sz w:val="44"/>
          <w:szCs w:val="44"/>
          <w:lang w:val="en-US" w:eastAsia="zh-CN"/>
        </w:rPr>
        <w:t>年版</w:t>
      </w:r>
      <w:r>
        <w:rPr>
          <w:rFonts w:hint="eastAsia" w:ascii="方正小标宋简体" w:hAnsi="方正小标宋简体" w:eastAsia="方正小标宋简体" w:cs="方正小标宋简体"/>
          <w:b w:val="0"/>
          <w:bCs w:val="0"/>
          <w:sz w:val="44"/>
          <w:szCs w:val="44"/>
          <w:lang w:eastAsia="zh-CN"/>
        </w:rPr>
        <w:t>）</w:t>
      </w:r>
    </w:p>
    <w:p>
      <w:pPr>
        <w:autoSpaceDE w:val="0"/>
        <w:spacing w:line="560" w:lineRule="exact"/>
        <w:ind w:right="-105" w:rightChars="-50"/>
        <w:rPr>
          <w:rFonts w:hint="eastAsia" w:ascii="仿宋_GB2312" w:hAnsi="仿宋_GB2312" w:eastAsia="宋体"/>
          <w:sz w:val="32"/>
          <w:szCs w:val="32"/>
          <w:lang w:eastAsia="zh-CN"/>
        </w:rPr>
      </w:pPr>
      <w:r>
        <w:rPr>
          <w:rFonts w:hint="eastAsia" w:ascii="仿宋_GB2312" w:hAnsi="仿宋_GB2312"/>
          <w:sz w:val="32"/>
          <w:szCs w:val="32"/>
          <w:lang w:val="en-US" w:eastAsia="zh-CN"/>
        </w:rPr>
        <w:t xml:space="preserve">                                                  </w:t>
      </w:r>
    </w:p>
    <w:tbl>
      <w:tblPr>
        <w:tblStyle w:val="4"/>
        <w:tblW w:w="13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2152"/>
        <w:gridCol w:w="2470"/>
        <w:gridCol w:w="2597"/>
        <w:gridCol w:w="1707"/>
        <w:gridCol w:w="1950"/>
        <w:gridCol w:w="819"/>
        <w:gridCol w:w="784"/>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eastAsia" w:ascii="楷体_GB2312" w:hAnsi="楷体_GB2312" w:eastAsia="楷体_GB2312" w:cs="楷体_GB2312"/>
                <w:b/>
                <w:bCs/>
                <w:kern w:val="21"/>
                <w:sz w:val="24"/>
                <w:szCs w:val="24"/>
                <w:shd w:val="clear" w:color="auto" w:fill="F7F7F7"/>
              </w:rPr>
            </w:pPr>
            <w:r>
              <w:rPr>
                <w:rFonts w:hint="eastAsia" w:ascii="楷体_GB2312" w:hAnsi="楷体_GB2312" w:eastAsia="楷体_GB2312" w:cs="楷体_GB2312"/>
                <w:b/>
                <w:bCs/>
                <w:kern w:val="0"/>
                <w:sz w:val="24"/>
                <w:szCs w:val="24"/>
              </w:rPr>
              <w:t>序号</w:t>
            </w:r>
          </w:p>
        </w:tc>
        <w:tc>
          <w:tcPr>
            <w:tcW w:w="2152"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textAlignment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证明事项名称</w:t>
            </w:r>
          </w:p>
        </w:tc>
        <w:tc>
          <w:tcPr>
            <w:tcW w:w="2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textAlignment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证明用途</w:t>
            </w:r>
          </w:p>
        </w:tc>
        <w:tc>
          <w:tcPr>
            <w:tcW w:w="2597" w:type="dxa"/>
            <w:vMerge w:val="restart"/>
            <w:tcBorders>
              <w:top w:val="single" w:color="000000" w:sz="4" w:space="0"/>
              <w:left w:val="nil"/>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textAlignment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sz w:val="24"/>
              </w:rPr>
              <w:t>设定依据</w:t>
            </w:r>
          </w:p>
        </w:tc>
        <w:tc>
          <w:tcPr>
            <w:tcW w:w="17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textAlignment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索要部门</w:t>
            </w:r>
          </w:p>
        </w:tc>
        <w:tc>
          <w:tcPr>
            <w:tcW w:w="19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textAlignment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出具部门</w:t>
            </w:r>
          </w:p>
        </w:tc>
        <w:tc>
          <w:tcPr>
            <w:tcW w:w="1603"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行使层级</w:t>
            </w:r>
          </w:p>
        </w:tc>
        <w:tc>
          <w:tcPr>
            <w:tcW w:w="805" w:type="dxa"/>
            <w:vMerge w:val="restart"/>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rPr>
                <w:rFonts w:hint="eastAsia" w:ascii="楷体_GB2312" w:hAnsi="楷体_GB2312" w:eastAsia="楷体_GB2312" w:cs="楷体_GB2312"/>
                <w:b/>
                <w:bCs/>
                <w:kern w:val="21"/>
                <w:sz w:val="24"/>
                <w:szCs w:val="24"/>
                <w:shd w:val="clear" w:color="auto" w:fill="F7F7F7"/>
              </w:rPr>
            </w:pPr>
          </w:p>
        </w:tc>
        <w:tc>
          <w:tcPr>
            <w:tcW w:w="215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kern w:val="0"/>
                <w:sz w:val="24"/>
                <w:szCs w:val="24"/>
              </w:rPr>
            </w:pPr>
          </w:p>
        </w:tc>
        <w:tc>
          <w:tcPr>
            <w:tcW w:w="247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kern w:val="0"/>
                <w:sz w:val="24"/>
                <w:szCs w:val="24"/>
              </w:rPr>
            </w:pPr>
          </w:p>
        </w:tc>
        <w:tc>
          <w:tcPr>
            <w:tcW w:w="2597" w:type="dxa"/>
            <w:vMerge w:val="continue"/>
            <w:tcBorders>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kern w:val="0"/>
                <w:sz w:val="24"/>
                <w:szCs w:val="24"/>
              </w:rPr>
            </w:pPr>
          </w:p>
        </w:tc>
        <w:tc>
          <w:tcPr>
            <w:tcW w:w="170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kern w:val="0"/>
                <w:sz w:val="24"/>
                <w:szCs w:val="24"/>
              </w:rPr>
            </w:pPr>
          </w:p>
        </w:tc>
        <w:tc>
          <w:tcPr>
            <w:tcW w:w="195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kern w:val="0"/>
                <w:sz w:val="24"/>
                <w:szCs w:val="24"/>
              </w:rPr>
            </w:pP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县级</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乡级或</w:t>
            </w:r>
          </w:p>
          <w:p>
            <w:pPr>
              <w:keepNext w:val="0"/>
              <w:keepLines w:val="0"/>
              <w:pageBreakBefore w:val="0"/>
              <w:kinsoku/>
              <w:wordWrap/>
              <w:overflowPunct/>
              <w:topLinePunct w:val="0"/>
              <w:autoSpaceDN/>
              <w:bidi w:val="0"/>
              <w:adjustRightInd/>
              <w:snapToGrid/>
              <w:spacing w:line="300" w:lineRule="exact"/>
              <w:jc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其他</w:t>
            </w:r>
          </w:p>
        </w:tc>
        <w:tc>
          <w:tcPr>
            <w:tcW w:w="805" w:type="dxa"/>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N/>
              <w:bidi w:val="0"/>
              <w:adjustRightInd/>
              <w:snapToGrid/>
              <w:spacing w:line="300" w:lineRule="exact"/>
              <w:jc w:val="center"/>
              <w:rPr>
                <w:rFonts w:hint="eastAsia" w:ascii="楷体_GB2312" w:hAnsi="楷体_GB2312" w:eastAsia="楷体_GB2312" w:cs="楷体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公章刻制业特种</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行业许可证核发</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申办公章刻制业特种行业许可证</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《国务院对确需保留的行政审批项目设定行政许可的决定》《印铸刻字业暂行管理规则》</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县公安</w:t>
            </w:r>
            <w:r>
              <w:rPr>
                <w:rFonts w:hint="eastAsia" w:ascii="Times New Roman" w:hAnsi="Times New Roman" w:eastAsia="仿宋_GB2312" w:cs="Times New Roman"/>
                <w:sz w:val="24"/>
                <w:szCs w:val="24"/>
                <w:lang w:eastAsia="zh-CN"/>
              </w:rPr>
              <w:t>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县公安</w:t>
            </w:r>
            <w:r>
              <w:rPr>
                <w:rFonts w:hint="eastAsia" w:ascii="Times New Roman" w:hAnsi="Times New Roman" w:eastAsia="仿宋_GB2312" w:cs="Times New Roman"/>
                <w:sz w:val="24"/>
                <w:szCs w:val="24"/>
                <w:lang w:eastAsia="zh-CN"/>
              </w:rPr>
              <w:t>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互联网上网服务</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营业场所信息网络安全</w:t>
            </w:r>
            <w:r>
              <w:rPr>
                <w:rFonts w:hint="default" w:ascii="Times New Roman" w:hAnsi="Times New Roman" w:eastAsia="仿宋_GB2312" w:cs="Times New Roman"/>
                <w:sz w:val="24"/>
                <w:szCs w:val="24"/>
                <w:lang w:eastAsia="zh-CN"/>
              </w:rPr>
              <w:t>审核</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互联网上网服务营业场所信息网络安全</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《互联网上网服务营业场所管理条例》</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县公安</w:t>
            </w:r>
            <w:r>
              <w:rPr>
                <w:rFonts w:hint="eastAsia" w:ascii="Times New Roman" w:hAnsi="Times New Roman" w:eastAsia="仿宋_GB2312" w:cs="Times New Roman"/>
                <w:sz w:val="24"/>
                <w:szCs w:val="24"/>
                <w:lang w:eastAsia="zh-CN"/>
              </w:rPr>
              <w:t>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县公安</w:t>
            </w:r>
            <w:r>
              <w:rPr>
                <w:rFonts w:hint="eastAsia" w:ascii="Times New Roman" w:hAnsi="Times New Roman" w:eastAsia="仿宋_GB2312" w:cs="Times New Roman"/>
                <w:sz w:val="24"/>
                <w:szCs w:val="24"/>
                <w:lang w:eastAsia="zh-CN"/>
              </w:rPr>
              <w:t>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旅馆业特种行业许可证核发</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申办旅馆业特种行业许可证</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《国务院对确需保留的行政审批项目设定行政许可的决定》《旅馆业治安管理办法》</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县公安</w:t>
            </w:r>
            <w:r>
              <w:rPr>
                <w:rFonts w:hint="eastAsia" w:ascii="Times New Roman" w:hAnsi="Times New Roman" w:eastAsia="仿宋_GB2312" w:cs="Times New Roman"/>
                <w:sz w:val="24"/>
                <w:szCs w:val="24"/>
                <w:lang w:eastAsia="zh-CN"/>
              </w:rPr>
              <w:t>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县公安</w:t>
            </w:r>
            <w:r>
              <w:rPr>
                <w:rFonts w:hint="eastAsia" w:ascii="Times New Roman" w:hAnsi="Times New Roman" w:eastAsia="仿宋_GB2312" w:cs="Times New Roman"/>
                <w:sz w:val="24"/>
                <w:szCs w:val="24"/>
                <w:lang w:eastAsia="zh-CN"/>
              </w:rPr>
              <w:t>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中介机构从事代理记账业务审批</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制订并公布</w:t>
            </w:r>
            <w:r>
              <w:rPr>
                <w:rFonts w:hint="eastAsia" w:ascii="Times New Roman" w:hAnsi="Times New Roman" w:eastAsia="仿宋_GB2312" w:cs="Times New Roman"/>
                <w:sz w:val="24"/>
                <w:szCs w:val="24"/>
                <w:lang w:eastAsia="zh-CN"/>
              </w:rPr>
              <w:t>告</w:t>
            </w:r>
            <w:r>
              <w:rPr>
                <w:rFonts w:hint="default" w:ascii="Times New Roman" w:hAnsi="Times New Roman" w:eastAsia="仿宋_GB2312" w:cs="Times New Roman"/>
                <w:sz w:val="24"/>
                <w:szCs w:val="24"/>
              </w:rPr>
              <w:t>知承诺书格式文本，一次性告知申请人许可条件和所需材料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对申请人自愿承诺符合许可条件并按要求提交材料的，当场作出许可决定。</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会计法》</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中介机构</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营业执照</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道路货运经营许可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《中华人民共和国道路运输条例》</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第二十四条</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市监局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法人身份证明， 经办人身份证明和书面委托书</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道路货运经营许可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《道路货物运输及站场管理规定》第八条</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公安局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7</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已购置车辆的行驶证、车辆登记证书或拟投入运输车辆的承诺书</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道路货运经营许可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《道路货物运输及站场管理规定》第八条</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公安交警</w:t>
            </w:r>
            <w:r>
              <w:rPr>
                <w:rFonts w:hint="eastAsia" w:ascii="Times New Roman" w:hAnsi="Times New Roman" w:eastAsia="仿宋_GB2312" w:cs="Times New Roman"/>
                <w:sz w:val="24"/>
                <w:szCs w:val="24"/>
                <w:lang w:eastAsia="zh-CN"/>
              </w:rPr>
              <w:t>大</w:t>
            </w:r>
            <w:r>
              <w:rPr>
                <w:rFonts w:hint="default" w:ascii="Times New Roman" w:hAnsi="Times New Roman" w:eastAsia="仿宋_GB2312" w:cs="Times New Roman"/>
                <w:sz w:val="24"/>
                <w:szCs w:val="24"/>
              </w:rPr>
              <w:t>队</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8</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聘用驾驶员驾驶证</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道路货运经营许可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《道路货物运输及站场管理规定》第八条</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公安交警</w:t>
            </w:r>
            <w:r>
              <w:rPr>
                <w:rFonts w:hint="eastAsia" w:ascii="Times New Roman" w:hAnsi="Times New Roman" w:eastAsia="仿宋_GB2312" w:cs="Times New Roman"/>
                <w:sz w:val="24"/>
                <w:szCs w:val="24"/>
                <w:lang w:eastAsia="zh-CN"/>
              </w:rPr>
              <w:t>大</w:t>
            </w:r>
            <w:r>
              <w:rPr>
                <w:rFonts w:hint="default" w:ascii="Times New Roman" w:hAnsi="Times New Roman" w:eastAsia="仿宋_GB2312" w:cs="Times New Roman"/>
                <w:sz w:val="24"/>
                <w:szCs w:val="24"/>
              </w:rPr>
              <w:t>队</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9</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驾驶员从业资格证</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道路货运经营许可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《道路货物运输及站场管理规定》第八条</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10</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安全生产管理制度文本或个体运输户的安全运营承诺书</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道路货运经营许可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《道路货物运输及站场管理规定》第八条</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自备</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11</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竣工验收证明</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道路旅客运输站经营许可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道路旅客运输及客运站管理规定</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县住建局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12</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有与业务量适应的专业人员和管理人员的证明</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道路旅客运输站经营许可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道路旅客运输及客运站管理规定</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客运站</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13</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有相应的设备、设施证明</w:t>
            </w:r>
          </w:p>
        </w:tc>
        <w:tc>
          <w:tcPr>
            <w:tcW w:w="247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道路旅客运输站经营许可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道路旅客运输及客运站管理规定</w:t>
            </w:r>
          </w:p>
        </w:tc>
        <w:tc>
          <w:tcPr>
            <w:tcW w:w="170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交运局</w:t>
            </w:r>
          </w:p>
        </w:tc>
        <w:tc>
          <w:tcPr>
            <w:tcW w:w="19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客运站</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14</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经营场所证明</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（产权证及租赁协议）</w:t>
            </w:r>
          </w:p>
        </w:tc>
        <w:tc>
          <w:tcPr>
            <w:tcW w:w="2470" w:type="dxa"/>
            <w:vMerge w:val="restart"/>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从事包装装潢印刷品印刷经营活动企业的设立、变更审批</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《印刷业管理条例》</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第九条</w:t>
            </w:r>
          </w:p>
        </w:tc>
        <w:tc>
          <w:tcPr>
            <w:tcW w:w="1707" w:type="dxa"/>
            <w:vMerge w:val="restart"/>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新闻出版</w:t>
            </w:r>
            <w:r>
              <w:rPr>
                <w:rFonts w:hint="eastAsia" w:ascii="Times New Roman" w:hAnsi="Times New Roman" w:eastAsia="仿宋_GB2312" w:cs="Times New Roman"/>
                <w:sz w:val="24"/>
                <w:szCs w:val="24"/>
                <w:lang w:eastAsia="zh-CN"/>
              </w:rPr>
              <w:t>局</w:t>
            </w:r>
          </w:p>
        </w:tc>
        <w:tc>
          <w:tcPr>
            <w:tcW w:w="1950" w:type="dxa"/>
            <w:vMerge w:val="restart"/>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申请人自备</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经营场所证明</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（产权证及租赁协议）</w:t>
            </w:r>
          </w:p>
        </w:tc>
        <w:tc>
          <w:tcPr>
            <w:tcW w:w="2470" w:type="dxa"/>
            <w:vMerge w:val="continue"/>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《印刷业管理条例》</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第十条</w:t>
            </w:r>
          </w:p>
        </w:tc>
        <w:tc>
          <w:tcPr>
            <w:tcW w:w="1707" w:type="dxa"/>
            <w:vMerge w:val="continue"/>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c>
          <w:tcPr>
            <w:tcW w:w="1950" w:type="dxa"/>
            <w:vMerge w:val="continue"/>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法定代表人或主要负责人身份证明</w:t>
            </w:r>
          </w:p>
        </w:tc>
        <w:tc>
          <w:tcPr>
            <w:tcW w:w="2470" w:type="dxa"/>
            <w:vMerge w:val="continue"/>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《印刷业管理条例》</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第九条</w:t>
            </w:r>
          </w:p>
        </w:tc>
        <w:tc>
          <w:tcPr>
            <w:tcW w:w="1707" w:type="dxa"/>
            <w:vMerge w:val="continue"/>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c>
          <w:tcPr>
            <w:tcW w:w="1950" w:type="dxa"/>
            <w:vMerge w:val="continue"/>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法定代表人无违法违纪证明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民办非企业单位成立、变更、注销登记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《民办非企业单位登记管理暂行条例》</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第八条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县民政局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县公安局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法定代表人无违法违纪证明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社会团体成立、变更、注销登记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《社会团体登记管理条例》第九条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县民政局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县公安局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家庭经济困难证明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大学生国家生源地助学贷款</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《社会救助暂行办法》第三十三</w:t>
            </w:r>
            <w:r>
              <w:rPr>
                <w:rFonts w:hint="eastAsia" w:ascii="Times New Roman" w:hAnsi="Times New Roman" w:eastAsia="仿宋_GB2312" w:cs="Times New Roman"/>
                <w:sz w:val="24"/>
                <w:szCs w:val="24"/>
                <w:lang w:eastAsia="zh-CN"/>
              </w:rPr>
              <w:t>至</w:t>
            </w:r>
            <w:r>
              <w:rPr>
                <w:rFonts w:hint="default" w:ascii="Times New Roman" w:hAnsi="Times New Roman" w:eastAsia="仿宋_GB2312" w:cs="Times New Roman"/>
                <w:sz w:val="24"/>
                <w:szCs w:val="24"/>
              </w:rPr>
              <w:t>三十六条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县教育局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民政</w:t>
            </w:r>
            <w:r>
              <w:rPr>
                <w:rFonts w:hint="eastAsia" w:ascii="Times New Roman" w:hAnsi="Times New Roman" w:eastAsia="仿宋_GB2312" w:cs="Times New Roman"/>
                <w:sz w:val="24"/>
                <w:szCs w:val="24"/>
                <w:lang w:eastAsia="zh-CN"/>
              </w:rPr>
              <w:t>局</w:t>
            </w:r>
            <w:r>
              <w:rPr>
                <w:rFonts w:hint="default" w:ascii="Times New Roman" w:hAnsi="Times New Roman" w:eastAsia="仿宋_GB2312" w:cs="Times New Roman"/>
                <w:sz w:val="24"/>
                <w:szCs w:val="24"/>
              </w:rPr>
              <w:t>、社区</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无犯罪记录证明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教师资格认定</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《教师资格认定条例》第十五条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县教育局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县公安局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从业人员的名单和健康合格证明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公共场所卫生许可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《公共场所卫生管理条例》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2019年4月23日修订</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第四条</w:t>
            </w:r>
          </w:p>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《公共场所卫生管理条例实施细则》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2011年卫生部令第80号，2017年12月5日修正</w:t>
            </w:r>
            <w:r>
              <w:rPr>
                <w:rFonts w:hint="default" w:ascii="Times New Roman" w:hAnsi="Times New Roman" w:eastAsia="仿宋_GB2312" w:cs="Times New Roman"/>
                <w:sz w:val="24"/>
                <w:szCs w:val="24"/>
                <w:lang w:eastAsia="zh-CN"/>
              </w:rPr>
              <w:t>）第二十二条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县卫健局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医疗机构</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资金证明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办理建筑工程</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施工许可</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《中华人民共和国建筑法》（1997年11月1日主席令第九十一号，2011年4月22日予以修改）第七条、第八条、第十条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县住建局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银行</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交警事故认定</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书、法院判决书、调解协议书</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意外伤害责任认定（事项名称：住院和结算）</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《中华人民共和国保险法》（主席令第35号）第三十条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县医保局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县公安</w:t>
            </w:r>
            <w:r>
              <w:rPr>
                <w:rFonts w:hint="default" w:ascii="Times New Roman" w:hAnsi="Times New Roman" w:eastAsia="仿宋_GB2312" w:cs="Times New Roman"/>
                <w:sz w:val="24"/>
                <w:szCs w:val="24"/>
              </w:rPr>
              <w:t>交警大队、</w:t>
            </w:r>
            <w:r>
              <w:rPr>
                <w:rFonts w:hint="eastAsia" w:ascii="Times New Roman" w:hAnsi="Times New Roman" w:eastAsia="仿宋_GB2312" w:cs="Times New Roman"/>
                <w:sz w:val="24"/>
                <w:szCs w:val="24"/>
                <w:lang w:eastAsia="zh-CN"/>
              </w:rPr>
              <w:t>县</w:t>
            </w:r>
            <w:r>
              <w:rPr>
                <w:rFonts w:hint="default" w:ascii="Times New Roman" w:hAnsi="Times New Roman" w:eastAsia="仿宋_GB2312" w:cs="Times New Roman"/>
                <w:sz w:val="24"/>
                <w:szCs w:val="24"/>
              </w:rPr>
              <w:t>法院</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机动车整车出厂合格证明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机动车注册登记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《中华人民共和国道路交通安全法》第九条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车辆管理所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车辆生产厂家</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23</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车辆购置税完税证明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机动车注册登记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《中华人民共和国道路交通安全法》第九条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车辆管理所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县税务局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机动车来历证明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机动车注册登记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《中华人民共和国道路交通安全法》第九条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车辆管理所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车辆生产厂家</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车船税纳税或者</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免税证明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机动车注册登记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《机动车登记规定》公安部124号部令</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第七条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车辆管理所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县税务局</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机动车安全技术检验合格证明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机动车变更登记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《机动车登记规定》公安部124号部令</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第十条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车辆管理所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机动车安全</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检验企业</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报废机动车</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回收证明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机动车注销登记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《机动车登记规定》公安部124号部令</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第二十七条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车辆管理所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机动车报废</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回</w:t>
            </w:r>
            <w:r>
              <w:rPr>
                <w:rFonts w:hint="eastAsia" w:ascii="Times New Roman" w:hAnsi="Times New Roman" w:eastAsia="仿宋_GB2312" w:cs="Times New Roman"/>
                <w:sz w:val="24"/>
                <w:szCs w:val="24"/>
                <w:lang w:eastAsia="zh-CN"/>
              </w:rPr>
              <w:t>收</w:t>
            </w:r>
            <w:r>
              <w:rPr>
                <w:rFonts w:hint="default" w:ascii="Times New Roman" w:hAnsi="Times New Roman" w:eastAsia="仿宋_GB2312" w:cs="Times New Roman"/>
                <w:sz w:val="24"/>
                <w:szCs w:val="24"/>
              </w:rPr>
              <w:t>企业</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机动车制造厂或者经销商出具的</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退车证明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机动车注销登记</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《机动车登记规定》公安部124号部令</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第二十九条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车辆管理所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机动车生产厂商</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体检合格证明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驾驶证申领和审验</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《机动车驾驶证申领和使用规定》公安部139 号部令</w:t>
            </w:r>
          </w:p>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第五十七条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车辆管理所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医疗机构</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父母在内地无依靠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无子女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内地居民前往港澳通行证签发</w:t>
            </w:r>
          </w:p>
        </w:tc>
        <w:tc>
          <w:tcPr>
            <w:tcW w:w="25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《内地居民前往香港或者澳门定居审批签发工作规范》公境港〔2017〕4583号第五</w:t>
            </w:r>
            <w:r>
              <w:rPr>
                <w:rFonts w:hint="default" w:ascii="Times New Roman" w:hAnsi="Times New Roman" w:eastAsia="仿宋_GB2312" w:cs="Times New Roman"/>
                <w:sz w:val="24"/>
                <w:szCs w:val="24"/>
                <w:lang w:eastAsia="zh-CN"/>
              </w:rPr>
              <w:t>条</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出入境管理局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社区</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工作资历证明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办理外国人来华工作许可</w:t>
            </w:r>
          </w:p>
        </w:tc>
        <w:tc>
          <w:tcPr>
            <w:tcW w:w="2597" w:type="dxa"/>
            <w:tcBorders>
              <w:top w:val="single" w:color="000000" w:sz="4" w:space="0"/>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行政许可法》《中华人民共和国出境入境管理法》《中华人民共和国外国人入境出境管理条例》《关于整合外国人来华工作许可事项意见的函》（审改办函〔2015〕95号）《国家外国专家局人力资源和社会保障部 外交部 公安部关于全面实施外国人来华工作许可制度的通知》（外专发〔2017〕40号）《国家外国专家局关于印发外国人来华工作许可服务指南（暂行）的通知》（外专发〔2017〕36号）</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县工信局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申请人原工作单位出具</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最高学位（学历） 证书或相关批准文书、职业资格</w:t>
            </w:r>
            <w:r>
              <w:rPr>
                <w:rFonts w:hint="default" w:ascii="Times New Roman" w:hAnsi="Times New Roman" w:eastAsia="仿宋_GB2312" w:cs="Times New Roman"/>
                <w:sz w:val="24"/>
                <w:szCs w:val="24"/>
                <w:lang w:eastAsia="zh-CN"/>
              </w:rPr>
              <w:t>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办理外国人来华工作许可</w:t>
            </w:r>
          </w:p>
        </w:tc>
        <w:tc>
          <w:tcPr>
            <w:tcW w:w="259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行政许可法》《中华人民共和国出境入境管理法》《中华人民共和国外国人入境出境管理条例》《关于整合外国人来华工作许可事项意见的函》（审改办函〔2015〕95号）《国家外国专家局人力资源和社会保障部 外交部 公安部关于全面实施外国人来华工作许可制度的通知》（外专发〔2017〕40号）《国家外国专家局关于印发外国人来华工作许可服务指南（暂行）的通知》（外专发〔2017〕36号）</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p>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县工信局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最高学位（学历） 证书在国外获得的，应经我驻外使、领馆或由申请人获得学位（学历）所在国驻华使、领馆或我国学历认证机构认证。</w:t>
            </w:r>
          </w:p>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最高学位（学历） 证书在港澳特别行政区和台湾地区获得的，应经我国学历认证机构认证或经所在地区公证机构公证。</w:t>
            </w:r>
          </w:p>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最高学位（学历） 证书在中国境内获得的，仅提供学历（学位）证书原件。我国法律法规规定应由行业主管部门前置审批或具备我国相应准入类职业资格的，应提供行业主管部门批准文书或职业资格证明。</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662"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bidi w:val="0"/>
              <w:adjustRightInd/>
              <w:snapToGrid/>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w:t>
            </w:r>
          </w:p>
        </w:tc>
        <w:tc>
          <w:tcPr>
            <w:tcW w:w="2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无犯罪记录证明</w:t>
            </w:r>
          </w:p>
        </w:tc>
        <w:tc>
          <w:tcPr>
            <w:tcW w:w="247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办理外国人来华工作许可</w:t>
            </w:r>
          </w:p>
        </w:tc>
        <w:tc>
          <w:tcPr>
            <w:tcW w:w="2597" w:type="dxa"/>
            <w:tcBorders>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中华人民共和国行政许可法》《中华人民共和国出境入境管理法》《中华人民共和国外国人入境出境管理条例》《关于整合外国人来华工作许可事项意见的函》（审改办函〔2015〕95号）《国家外国专家局人力资源和社会保障部 外交部 公安部关于全面实施外国人来华工作许可制度的通知》（外专发〔2017〕40号）《国家外国专家局关于印发外国人来华工作许可服务指南（暂行）的通知》（外专发〔2017〕36号）</w:t>
            </w:r>
          </w:p>
        </w:tc>
        <w:tc>
          <w:tcPr>
            <w:tcW w:w="1707"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县工信局</w:t>
            </w:r>
          </w:p>
        </w:tc>
        <w:tc>
          <w:tcPr>
            <w:tcW w:w="1950" w:type="dxa"/>
            <w:tcBorders>
              <w:left w:val="nil"/>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应当由申请人国籍国或经常居住地警察、安全、法院等部门出具并经我驻外使、领馆认证或外国驻华使、领馆认证。</w:t>
            </w:r>
          </w:p>
          <w:p>
            <w:pPr>
              <w:keepNext w:val="0"/>
              <w:keepLines w:val="0"/>
              <w:pageBreakBefore w:val="0"/>
              <w:kinsoku/>
              <w:wordWrap/>
              <w:overflowPunct/>
              <w:topLinePunct w:val="0"/>
              <w:autoSpaceDN/>
              <w:bidi w:val="0"/>
              <w:adjustRightInd/>
              <w:snapToGrid/>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在港澳特别行政区和台湾地区出具的无犯罪记录证明，应经所在地区公证机关公证。</w:t>
            </w:r>
          </w:p>
        </w:tc>
        <w:tc>
          <w:tcPr>
            <w:tcW w:w="81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7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rPr>
            </w:pP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eastAsia="仿宋_GB2312" w:cs="Times New Roman"/>
                <w:sz w:val="24"/>
                <w:lang w:eastAsia="zh-CN"/>
              </w:rPr>
            </w:pPr>
          </w:p>
        </w:tc>
      </w:tr>
    </w:tbl>
    <w:p>
      <w:pPr>
        <w:spacing w:line="640" w:lineRule="exact"/>
        <w:rPr>
          <w:rFonts w:hint="eastAsia" w:ascii="仿宋_GB2312" w:hAnsi="仿宋_GB2312" w:eastAsia="仿宋_GB2312" w:cs="仿宋_GB2312"/>
          <w:b/>
          <w:bCs/>
          <w:color w:val="333333"/>
          <w:sz w:val="24"/>
          <w:szCs w:val="24"/>
          <w:shd w:val="clear" w:color="auto" w:fill="FFFFFF"/>
          <w:lang w:eastAsia="zh-CN"/>
        </w:rPr>
      </w:pPr>
      <w:r>
        <w:rPr>
          <w:rFonts w:hint="eastAsia" w:ascii="仿宋_GB2312" w:hAnsi="仿宋_GB2312" w:eastAsia="仿宋_GB2312" w:cs="仿宋_GB2312"/>
          <w:b/>
          <w:bCs/>
          <w:color w:val="333333"/>
          <w:sz w:val="24"/>
          <w:szCs w:val="24"/>
          <w:shd w:val="clear" w:color="auto" w:fill="FFFFFF"/>
          <w:lang w:eastAsia="zh-CN"/>
        </w:rPr>
        <w:t>注：“索要部门”为办理事项单位，即向个人或企业单位索要证明件的部门；“出具部门”开具证明的部门（如公安局、社区等等）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sectPr>
      <w:footerReference r:id="rId3" w:type="default"/>
      <w:pgSz w:w="16838" w:h="11906" w:orient="landscape"/>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048E"/>
    <w:rsid w:val="009C337D"/>
    <w:rsid w:val="00EA058C"/>
    <w:rsid w:val="010158D6"/>
    <w:rsid w:val="014D28C9"/>
    <w:rsid w:val="01944054"/>
    <w:rsid w:val="01D160C6"/>
    <w:rsid w:val="02781BC8"/>
    <w:rsid w:val="02DD1A2B"/>
    <w:rsid w:val="02FA438B"/>
    <w:rsid w:val="05322502"/>
    <w:rsid w:val="065B3392"/>
    <w:rsid w:val="06606919"/>
    <w:rsid w:val="0661309E"/>
    <w:rsid w:val="06CB49BC"/>
    <w:rsid w:val="06EE2458"/>
    <w:rsid w:val="07A34FF1"/>
    <w:rsid w:val="08B1198F"/>
    <w:rsid w:val="095350FD"/>
    <w:rsid w:val="095567BF"/>
    <w:rsid w:val="096864F2"/>
    <w:rsid w:val="0A5A00FD"/>
    <w:rsid w:val="0A8235E3"/>
    <w:rsid w:val="0AE75B3C"/>
    <w:rsid w:val="0B1D330C"/>
    <w:rsid w:val="0C50326D"/>
    <w:rsid w:val="0CA94AA3"/>
    <w:rsid w:val="0DB77A48"/>
    <w:rsid w:val="0E4F5ED2"/>
    <w:rsid w:val="100E1475"/>
    <w:rsid w:val="101E5B5C"/>
    <w:rsid w:val="119E16C4"/>
    <w:rsid w:val="1224683B"/>
    <w:rsid w:val="1340403C"/>
    <w:rsid w:val="13C407C9"/>
    <w:rsid w:val="13E744B7"/>
    <w:rsid w:val="1594066F"/>
    <w:rsid w:val="160752E5"/>
    <w:rsid w:val="17544559"/>
    <w:rsid w:val="176D73C9"/>
    <w:rsid w:val="177B1AE6"/>
    <w:rsid w:val="17BD20FF"/>
    <w:rsid w:val="18736C61"/>
    <w:rsid w:val="19AE61A3"/>
    <w:rsid w:val="1A9609E5"/>
    <w:rsid w:val="1AB1581F"/>
    <w:rsid w:val="1C632B49"/>
    <w:rsid w:val="1C654B13"/>
    <w:rsid w:val="1D61177E"/>
    <w:rsid w:val="1DA4489F"/>
    <w:rsid w:val="1E124827"/>
    <w:rsid w:val="1E2B6BE7"/>
    <w:rsid w:val="1EDD6BE3"/>
    <w:rsid w:val="20DA787E"/>
    <w:rsid w:val="21380A48"/>
    <w:rsid w:val="220646A2"/>
    <w:rsid w:val="22576CAC"/>
    <w:rsid w:val="23201794"/>
    <w:rsid w:val="23713D9D"/>
    <w:rsid w:val="24327310"/>
    <w:rsid w:val="24373239"/>
    <w:rsid w:val="257C53A7"/>
    <w:rsid w:val="262D66A1"/>
    <w:rsid w:val="26751DF6"/>
    <w:rsid w:val="26812549"/>
    <w:rsid w:val="26E914B0"/>
    <w:rsid w:val="27266F1D"/>
    <w:rsid w:val="27C26BE0"/>
    <w:rsid w:val="28FE2577"/>
    <w:rsid w:val="29177195"/>
    <w:rsid w:val="2A2102CB"/>
    <w:rsid w:val="2A720B27"/>
    <w:rsid w:val="2B964CE9"/>
    <w:rsid w:val="2C324A12"/>
    <w:rsid w:val="2C7C7A3B"/>
    <w:rsid w:val="2CDF7FCA"/>
    <w:rsid w:val="2D8172D3"/>
    <w:rsid w:val="2EB21E3A"/>
    <w:rsid w:val="2F364819"/>
    <w:rsid w:val="303B7C0D"/>
    <w:rsid w:val="307750E9"/>
    <w:rsid w:val="308A649E"/>
    <w:rsid w:val="3091782D"/>
    <w:rsid w:val="30A12166"/>
    <w:rsid w:val="32D83E39"/>
    <w:rsid w:val="33423060"/>
    <w:rsid w:val="33CC574C"/>
    <w:rsid w:val="36483084"/>
    <w:rsid w:val="36701F4A"/>
    <w:rsid w:val="37A4253C"/>
    <w:rsid w:val="389375EB"/>
    <w:rsid w:val="391536F1"/>
    <w:rsid w:val="3B0D21A6"/>
    <w:rsid w:val="3BD74C8E"/>
    <w:rsid w:val="3C0E61D6"/>
    <w:rsid w:val="3C9E39FD"/>
    <w:rsid w:val="3D8932FD"/>
    <w:rsid w:val="3DF338D5"/>
    <w:rsid w:val="3F010273"/>
    <w:rsid w:val="3FCA4B09"/>
    <w:rsid w:val="40FA4E7B"/>
    <w:rsid w:val="41A03D74"/>
    <w:rsid w:val="42843695"/>
    <w:rsid w:val="431B5DA8"/>
    <w:rsid w:val="43560B8E"/>
    <w:rsid w:val="44F56185"/>
    <w:rsid w:val="45796DB6"/>
    <w:rsid w:val="4582210E"/>
    <w:rsid w:val="45D24718"/>
    <w:rsid w:val="46733805"/>
    <w:rsid w:val="46BC1650"/>
    <w:rsid w:val="472965B9"/>
    <w:rsid w:val="47FE35A2"/>
    <w:rsid w:val="48084421"/>
    <w:rsid w:val="4924528A"/>
    <w:rsid w:val="49755AE6"/>
    <w:rsid w:val="4A3E237C"/>
    <w:rsid w:val="4AE051E1"/>
    <w:rsid w:val="4AFD2237"/>
    <w:rsid w:val="4CCE5C39"/>
    <w:rsid w:val="4DD70B1D"/>
    <w:rsid w:val="4E1E04FA"/>
    <w:rsid w:val="4E2D2E33"/>
    <w:rsid w:val="4E3917D8"/>
    <w:rsid w:val="4E742810"/>
    <w:rsid w:val="506643DA"/>
    <w:rsid w:val="50DE6667"/>
    <w:rsid w:val="516A1CA8"/>
    <w:rsid w:val="51AF590D"/>
    <w:rsid w:val="51F83758"/>
    <w:rsid w:val="52F61A46"/>
    <w:rsid w:val="54E12281"/>
    <w:rsid w:val="55F36710"/>
    <w:rsid w:val="55FD3892"/>
    <w:rsid w:val="565D1DDC"/>
    <w:rsid w:val="569E667C"/>
    <w:rsid w:val="56F95FA8"/>
    <w:rsid w:val="58405511"/>
    <w:rsid w:val="58913FBE"/>
    <w:rsid w:val="59034EBC"/>
    <w:rsid w:val="594554D5"/>
    <w:rsid w:val="598633F7"/>
    <w:rsid w:val="59D423B5"/>
    <w:rsid w:val="59DB7BE7"/>
    <w:rsid w:val="59EE16C8"/>
    <w:rsid w:val="5C270EC2"/>
    <w:rsid w:val="5C531CB7"/>
    <w:rsid w:val="5ECE7D1A"/>
    <w:rsid w:val="5F1D47FE"/>
    <w:rsid w:val="5F8D54E0"/>
    <w:rsid w:val="5FD924D3"/>
    <w:rsid w:val="60824919"/>
    <w:rsid w:val="60B151FE"/>
    <w:rsid w:val="6109328C"/>
    <w:rsid w:val="61F93300"/>
    <w:rsid w:val="620D46B6"/>
    <w:rsid w:val="62EE2739"/>
    <w:rsid w:val="63827325"/>
    <w:rsid w:val="639D5F0D"/>
    <w:rsid w:val="63A64DC2"/>
    <w:rsid w:val="63B514A9"/>
    <w:rsid w:val="63DC4C88"/>
    <w:rsid w:val="64473941"/>
    <w:rsid w:val="65ED6CD8"/>
    <w:rsid w:val="664D3C1B"/>
    <w:rsid w:val="66524D8D"/>
    <w:rsid w:val="66DB2FD4"/>
    <w:rsid w:val="66EE2624"/>
    <w:rsid w:val="6A7026CE"/>
    <w:rsid w:val="6B0A3E88"/>
    <w:rsid w:val="6B6178F1"/>
    <w:rsid w:val="6C64581A"/>
    <w:rsid w:val="6CFC5A53"/>
    <w:rsid w:val="6CFC61C3"/>
    <w:rsid w:val="6D1F7993"/>
    <w:rsid w:val="6F343BCA"/>
    <w:rsid w:val="70757FF6"/>
    <w:rsid w:val="70ED4030"/>
    <w:rsid w:val="70F21646"/>
    <w:rsid w:val="72A72905"/>
    <w:rsid w:val="72C74D55"/>
    <w:rsid w:val="734E4B2E"/>
    <w:rsid w:val="73B00CA9"/>
    <w:rsid w:val="74C0380A"/>
    <w:rsid w:val="74D3178F"/>
    <w:rsid w:val="74D84FF7"/>
    <w:rsid w:val="74F82FA3"/>
    <w:rsid w:val="75D47694"/>
    <w:rsid w:val="768865A9"/>
    <w:rsid w:val="775D3592"/>
    <w:rsid w:val="77BA4E88"/>
    <w:rsid w:val="781F4CEB"/>
    <w:rsid w:val="798017B9"/>
    <w:rsid w:val="79C618C2"/>
    <w:rsid w:val="79E63D12"/>
    <w:rsid w:val="7A1C14E2"/>
    <w:rsid w:val="7A590988"/>
    <w:rsid w:val="7A6D4434"/>
    <w:rsid w:val="7A7237F8"/>
    <w:rsid w:val="7B672C31"/>
    <w:rsid w:val="7C4729DA"/>
    <w:rsid w:val="7C570EF7"/>
    <w:rsid w:val="7CF95B0B"/>
    <w:rsid w:val="7D0253F1"/>
    <w:rsid w:val="7D0C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2022-03-22T01:51:00Z</dcterms:created>
  <dc:creator>Administrator</dc:creator>
  <cp:lastModifiedBy>西红柿炒番茄</cp:lastModifiedBy>
  <dcterms:modified xsi:type="dcterms:W3CDTF">2022-03-22T05:15:24Z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C2058A851DBD4D47AC87A7DFF8511E23</vt:lpwstr>
  </property>
</Properties>
</file>