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黑体"/>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pStyle w:val="2"/>
        <w:rPr>
          <w:rFonts w:hint="eastAsia"/>
        </w:rPr>
      </w:pPr>
    </w:p>
    <w:p>
      <w:pPr>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汤</w:t>
      </w:r>
      <w:bookmarkStart w:id="0" w:name="_GoBack"/>
      <w:bookmarkEnd w:id="0"/>
      <w:r>
        <w:rPr>
          <w:rFonts w:hint="eastAsia" w:ascii="方正小标宋简体" w:hAnsi="方正小标宋简体" w:eastAsia="方正小标宋简体" w:cs="方正小标宋简体"/>
          <w:b w:val="0"/>
          <w:bCs w:val="0"/>
          <w:sz w:val="44"/>
          <w:szCs w:val="44"/>
          <w:lang w:val="en-US" w:eastAsia="zh-CN"/>
        </w:rPr>
        <w:t>原县</w:t>
      </w:r>
      <w:r>
        <w:rPr>
          <w:rFonts w:hint="eastAsia" w:ascii="方正小标宋简体" w:hAnsi="方正小标宋简体" w:eastAsia="方正小标宋简体" w:cs="方正小标宋简体"/>
          <w:b w:val="0"/>
          <w:bCs w:val="0"/>
          <w:sz w:val="44"/>
          <w:szCs w:val="44"/>
        </w:rPr>
        <w:t>不予实施行政强制措施清单</w:t>
      </w:r>
      <w:r>
        <w:rPr>
          <w:rFonts w:hint="eastAsia" w:ascii="方正小标宋简体" w:hAnsi="方正小标宋简体" w:eastAsia="方正小标宋简体" w:cs="方正小标宋简体"/>
          <w:b w:val="0"/>
          <w:bCs w:val="0"/>
          <w:sz w:val="44"/>
          <w:szCs w:val="44"/>
          <w:lang w:eastAsia="zh-CN"/>
        </w:rPr>
        <w:t>（第一批）</w:t>
      </w:r>
    </w:p>
    <w:p>
      <w:pPr>
        <w:spacing w:line="240" w:lineRule="exact"/>
        <w:rPr>
          <w:rFonts w:hint="eastAsia" w:ascii="仿宋_GB2312" w:hAnsi="宋体" w:eastAsia="仿宋_GB2312"/>
          <w:sz w:val="28"/>
          <w:szCs w:val="28"/>
        </w:rPr>
      </w:pPr>
      <w:r>
        <w:rPr>
          <w:rFonts w:hint="eastAsia" w:ascii="仿宋_GB2312" w:hAnsi="宋体" w:eastAsia="仿宋_GB2312"/>
          <w:sz w:val="28"/>
          <w:szCs w:val="28"/>
        </w:rPr>
        <w:t xml:space="preserve"> </w:t>
      </w:r>
    </w:p>
    <w:tbl>
      <w:tblPr>
        <w:tblStyle w:val="4"/>
        <w:tblW w:w="15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0"/>
        <w:gridCol w:w="820"/>
        <w:gridCol w:w="2700"/>
        <w:gridCol w:w="2550"/>
        <w:gridCol w:w="3975"/>
        <w:gridCol w:w="235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序号</w:t>
            </w: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实施主体</w:t>
            </w: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管理领域</w:t>
            </w:r>
          </w:p>
        </w:tc>
        <w:tc>
          <w:tcPr>
            <w:tcW w:w="270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不予实施行政强制</w:t>
            </w:r>
          </w:p>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措施事项</w:t>
            </w:r>
          </w:p>
        </w:tc>
        <w:tc>
          <w:tcPr>
            <w:tcW w:w="25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p>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不予实施行政强制</w:t>
            </w:r>
          </w:p>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措施的情形</w:t>
            </w:r>
          </w:p>
          <w:p>
            <w:pPr>
              <w:widowControl/>
              <w:spacing w:line="400" w:lineRule="exact"/>
              <w:jc w:val="center"/>
              <w:textAlignment w:val="center"/>
              <w:rPr>
                <w:rFonts w:hint="eastAsia" w:ascii="楷体_GB2312" w:hAnsi="楷体_GB2312" w:eastAsia="楷体_GB2312" w:cs="楷体_GB2312"/>
                <w:b/>
                <w:bCs/>
                <w:color w:val="000000"/>
                <w:sz w:val="24"/>
                <w:szCs w:val="24"/>
              </w:rPr>
            </w:pPr>
          </w:p>
        </w:tc>
        <w:tc>
          <w:tcPr>
            <w:tcW w:w="397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不予实施行政强制措施的依据</w:t>
            </w:r>
          </w:p>
        </w:tc>
        <w:tc>
          <w:tcPr>
            <w:tcW w:w="2357"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配套监管措施</w:t>
            </w:r>
          </w:p>
        </w:tc>
        <w:tc>
          <w:tcPr>
            <w:tcW w:w="125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权力层级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center"/>
              <w:textAlignment w:val="center"/>
              <w:rPr>
                <w:rFonts w:hint="eastAsia" w:ascii="宋体" w:hAnsi="宋体" w:eastAsia="宋体" w:cs="宋体"/>
                <w:sz w:val="21"/>
                <w:szCs w:val="21"/>
                <w:lang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lang w:eastAsia="zh-CN"/>
              </w:rPr>
            </w:pPr>
            <w:r>
              <w:rPr>
                <w:rFonts w:hint="eastAsia" w:ascii="宋体" w:hAnsi="宋体" w:eastAsia="宋体" w:cs="宋体"/>
                <w:sz w:val="21"/>
                <w:szCs w:val="21"/>
                <w:lang w:eastAsia="zh-CN"/>
              </w:rPr>
              <w:t>医疗保障局</w:t>
            </w:r>
          </w:p>
        </w:tc>
        <w:tc>
          <w:tcPr>
            <w:tcW w:w="8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医疗保障</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对可能被转移、隐匿或者灭失的医疗保险基金相关资料进行封存</w:t>
            </w:r>
          </w:p>
        </w:tc>
        <w:tc>
          <w:tcPr>
            <w:tcW w:w="25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能够及时采取记录、复制、拍照、录像等证据保全措施的，注明制作方法、制作时间、制作人等，同时由证据提供人核对无误后签名或者盖章后，可以不予实施行政强制措施。</w:t>
            </w:r>
          </w:p>
        </w:tc>
        <w:tc>
          <w:tcPr>
            <w:tcW w:w="3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《中华人民共和国行政强制法》第五条　采用非强制手段可以达到行政管理目的的,不得设定和实施行政强制。</w:t>
            </w:r>
          </w:p>
        </w:tc>
        <w:tc>
          <w:tcPr>
            <w:tcW w:w="235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《黑龙江省医疗保障行政处罚程序暂行规定》</w:t>
            </w:r>
          </w:p>
        </w:tc>
        <w:tc>
          <w:tcPr>
            <w:tcW w:w="12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center"/>
              <w:textAlignment w:val="center"/>
              <w:rPr>
                <w:rFonts w:hint="eastAsia" w:ascii="宋体" w:hAnsi="宋体" w:eastAsia="宋体" w:cs="宋体"/>
                <w:sz w:val="21"/>
                <w:szCs w:val="21"/>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公安局</w:t>
            </w:r>
          </w:p>
        </w:tc>
        <w:tc>
          <w:tcPr>
            <w:tcW w:w="8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交通管理</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对扣留其非机动车的行政强制</w:t>
            </w:r>
          </w:p>
        </w:tc>
        <w:tc>
          <w:tcPr>
            <w:tcW w:w="25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1.违法行为情节显著轻微的；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2.没有明显社会危害性的；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3.及时纠正没有造成危害后果的。</w:t>
            </w:r>
          </w:p>
        </w:tc>
        <w:tc>
          <w:tcPr>
            <w:tcW w:w="3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【法律】《中华人民共和国行政强制法》（2011年6月30日通过）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第五条：行政强制的设定和实施，应当适当。采用非强制手段可以达到行政管理目的的，不得设定和实施行政强制。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第六条：实施行政强制，应当坚持教育与强制相结合。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【法律】《中华人民共和国道路交通安全法》（2003年10月28日通过，2011年4月22修订）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第八十九条：行人、乘车人、非机动车驾驶人违反道路交通安全法律、法规关于道路通行规定的，处警告或者五元以上五十元以下罚款；非机动车驾驶人拒绝接受罚款处罚的，可以扣留其非机动车。 </w:t>
            </w:r>
          </w:p>
        </w:tc>
        <w:tc>
          <w:tcPr>
            <w:tcW w:w="235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加强监督检查，强化事后监管，督促问题整改，落实相关法律法规规定。</w:t>
            </w:r>
          </w:p>
        </w:tc>
        <w:tc>
          <w:tcPr>
            <w:tcW w:w="12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center"/>
              <w:textAlignment w:val="center"/>
              <w:rPr>
                <w:rFonts w:hint="eastAsia" w:ascii="宋体" w:hAnsi="宋体" w:eastAsia="宋体" w:cs="宋体"/>
                <w:color w:val="000000"/>
                <w:kern w:val="0"/>
                <w:sz w:val="21"/>
                <w:szCs w:val="21"/>
                <w:lang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公安局</w:t>
            </w:r>
          </w:p>
        </w:tc>
        <w:tc>
          <w:tcPr>
            <w:tcW w:w="8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交通管理</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对拖移机动车的行政强制</w:t>
            </w:r>
          </w:p>
        </w:tc>
        <w:tc>
          <w:tcPr>
            <w:tcW w:w="25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1.违法行为情节显著轻微的；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2.没有明显社会危害性的；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3.及时纠正没有造成危害后果的。</w:t>
            </w:r>
          </w:p>
        </w:tc>
        <w:tc>
          <w:tcPr>
            <w:tcW w:w="3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【法律】《中华人民共和国行政强制法》（2011年6月30日通过）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第五条：行政强制的设定和实施，应当适当。采用非强制手段可以达到行政管理目的的，不得设定和实施行政强制。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第六条：实施行政强制，应当坚持教育与强制相结合。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【法律】《中华人民共和国道路交通安全法》（2003年10月28日通过，2011年4月22修订）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第九十三条：对违反道路交通安全法律、法规关于机动车停放、临时停车规定的，可以指出违法行为，并予以口头警告，令其立即驶离。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因采取不正确的方法拖车造成机动车损坏的，应当依法承担补偿责任。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【部委规章】《道路交通安全违法行为处理程序规定》(2008年10月20日公安部第105号令，2020年04月07日修订)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三十三条：违反机动车停放、临时停车规定，驾驶人不在现场或者虽在现场但拒绝立即驶离，妨碍其他车辆、行人通行的，公安机关交通管理部门及其交通警察可以将机动车拖移至不妨碍交通的地点或者公安机关交通管理部门指定的地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拖移机动车的，现场交通警察应当通过拍照、录像等方式固定违法事实和证据。 </w:t>
            </w:r>
          </w:p>
        </w:tc>
        <w:tc>
          <w:tcPr>
            <w:tcW w:w="235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加强监督检查，强化事后监管，督促问题整改，落实相关法律法规规定。</w:t>
            </w:r>
          </w:p>
        </w:tc>
        <w:tc>
          <w:tcPr>
            <w:tcW w:w="12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center"/>
              <w:textAlignment w:val="center"/>
              <w:rPr>
                <w:rFonts w:hint="eastAsia" w:ascii="宋体" w:hAnsi="宋体" w:eastAsia="宋体" w:cs="宋体"/>
                <w:color w:val="000000"/>
                <w:kern w:val="0"/>
                <w:sz w:val="21"/>
                <w:szCs w:val="21"/>
                <w:lang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公安局</w:t>
            </w:r>
          </w:p>
        </w:tc>
        <w:tc>
          <w:tcPr>
            <w:tcW w:w="8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交通管理</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对扣留机动车的行政强制</w:t>
            </w:r>
          </w:p>
        </w:tc>
        <w:tc>
          <w:tcPr>
            <w:tcW w:w="25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1.未放置检验合格标志、保险标志，系统中能够查询到相关信息或者能够提供电子、纸质证明的；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2.未随车携带机动车驾驶证，系统中能够查询到相关信息或者能够提供电子、纸质证明的。</w:t>
            </w:r>
          </w:p>
        </w:tc>
        <w:tc>
          <w:tcPr>
            <w:tcW w:w="3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after="220" w:afterAutospacing="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【法律】《中华人民共和国行政强制法》（2011年6月30日通过）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第五条：行政强制的设定和实施，应当适当。采用非强制手段可以达到行政管理目的的，不得设定和实施行政强制。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第六条：实施行政强制，应当坚持教育与强制相结合。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【法律】《中华人民共和国道路交通安全法》（2003年10月28日通过，2011年4月22修订）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七十二条：公安机关交通管理部门接到交通事故报警后，应当立即派交通警察赶赴现场，先组织抢救受伤人员，并采取措施，尽快恢复交通。交通警察应当对交通事故现场进行勘验、检查，收集证据；因收集证据的需要，可以扣留事故车辆，但是应当妥善保管，以备核查。对当事人的生理、精神状况等专业性较强的检验，公安机关交通管理部门应当委托专门机构进行鉴定。鉴定结论应当由鉴定人签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九十五条：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故意遮挡、污损或者不按规定安装机动车号牌的，依照本法第九十条的规定予以处罚。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九十六条：伪造、变造或者使用伪造、变造的机动车登记证书、号牌、行驶证、驾驶证的，由公安机关交通管理部门予以收缴，扣留该机动车，处十五日以下拘留，并处二千元以上五千元以下罚款；构成犯罪的，依法追究刑事责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伪造、变造或者使用伪造、变造的检验合格标志、保险标志的，由公安机关交通管理部门予以收缴，扣留该机动车，处十日以下拘留，并处一千元以上三千元以下罚款；构成犯罪的，依法追究刑事责任。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使用其他车辆的机动车登记证书、号牌、行驶证、检验合格标志、保险标志的，由公安机关交通管理部门予以收缴，扣留该机动车，处二千元以上五千元以下罚款。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当事人提供相应的合法证明或者补办相应手续的，应当及时退还机动车。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【部委规章】《道路交通安全违法行为处理程序规定》(2008年10月20日公安部第105号令，2020年04月07日修订)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第二十七条：有下列情形之一的，依法扣留车辆：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（一）上道路行驶的机动车未悬挂机动车号牌，未放置检验合格标志、保险标志，或者未随车携带机动车行驶证、驾驶证的；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（二）有伪造、变造或者使用伪造、变造的机动车登记证书、号牌、行驶证、检验合格标志、保险标志、驾驶证或者使用其他车辆的机动车登记证书、号牌、行驶证、检验合格标志、保险标志嫌疑的；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（三）未按照国家规定投保机动车交通事故责任强制保险的；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（四）公路客运车辆或者货运机动车超载的；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（五）机动车有被盗抢嫌疑的；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（六）机动车有拼装或者达到报废标准嫌疑的；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（七）未申领《剧毒化学品公路运输通行证》通过公路运输剧毒化学品的；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（八）非机动车驾驶人拒绝接受罚款处罚的。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对发生道路交通事故，因收集证据需要的，可以依法扣留事故车辆。 </w:t>
            </w:r>
          </w:p>
        </w:tc>
        <w:tc>
          <w:tcPr>
            <w:tcW w:w="235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加强监督检查，强化事后监管，督促问题整改，落实相关法律法规规定。</w:t>
            </w:r>
          </w:p>
        </w:tc>
        <w:tc>
          <w:tcPr>
            <w:tcW w:w="12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left"/>
              <w:textAlignment w:val="center"/>
              <w:rPr>
                <w:rFonts w:hint="eastAsia" w:ascii="楷体_GB2312" w:hAnsi="楷体_GB2312" w:eastAsia="楷体_GB2312" w:cs="楷体_GB2312"/>
                <w:color w:val="000000"/>
                <w:kern w:val="0"/>
                <w:sz w:val="24"/>
                <w:szCs w:val="24"/>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城市管理综合行政执法大队</w:t>
            </w: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270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未对驶出施工现场的车辆轮胎进行清洗,污染道路的,运输建筑垃圾及散装货物、液体货物的车辆不密闭运输,遗撒、泄漏污染道路</w:t>
            </w:r>
          </w:p>
        </w:tc>
        <w:tc>
          <w:tcPr>
            <w:tcW w:w="25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依法进行行政处罚。清理造成道路污染物的，且无逃逸、抗拒执法行为的，不予滞留车辆。</w:t>
            </w:r>
          </w:p>
        </w:tc>
        <w:tc>
          <w:tcPr>
            <w:tcW w:w="397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《黑龙江省城市市容和环境卫生管理条例》第四十一条第八项“未对驶出施工现场的车辆轮胎进行清洗,污染道路的,运输建筑垃圾及散装货物、液体货物的车辆不密闭运输,遗撒、泄漏污染道路的,按每辆车处以500 元以上 1000 元以下罚款;拒不接受处理,情节严重的,可以滞留车辆”</w:t>
            </w:r>
          </w:p>
        </w:tc>
        <w:tc>
          <w:tcPr>
            <w:tcW w:w="2357"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125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left"/>
              <w:textAlignment w:val="center"/>
              <w:rPr>
                <w:rFonts w:hint="eastAsia" w:ascii="楷体_GB2312" w:hAnsi="楷体_GB2312" w:eastAsia="楷体_GB2312" w:cs="楷体_GB2312"/>
                <w:color w:val="000000"/>
                <w:kern w:val="0"/>
                <w:sz w:val="24"/>
                <w:szCs w:val="24"/>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rPr>
            </w:pPr>
          </w:p>
        </w:tc>
        <w:tc>
          <w:tcPr>
            <w:tcW w:w="820" w:type="dxa"/>
            <w:tcBorders>
              <w:top w:val="single" w:color="auto" w:sz="4" w:space="0"/>
              <w:left w:val="nil"/>
              <w:bottom w:val="single" w:color="auto" w:sz="4" w:space="0"/>
              <w:right w:val="single" w:color="auto" w:sz="4" w:space="0"/>
            </w:tcBorders>
            <w:noWrap w:val="0"/>
            <w:vAlign w:val="center"/>
          </w:tcPr>
          <w:p>
            <w:pPr>
              <w:spacing w:beforeLines="0" w:afterLines="0"/>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林草监管</w:t>
            </w:r>
          </w:p>
        </w:tc>
        <w:tc>
          <w:tcPr>
            <w:tcW w:w="2700" w:type="dxa"/>
            <w:tcBorders>
              <w:top w:val="single" w:color="auto" w:sz="4" w:space="0"/>
              <w:left w:val="nil"/>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对查处林草监管领域法律、法规、规章违法行为实施的行政强制</w:t>
            </w:r>
          </w:p>
        </w:tc>
        <w:tc>
          <w:tcPr>
            <w:tcW w:w="2550" w:type="dxa"/>
            <w:tcBorders>
              <w:top w:val="single" w:color="000000" w:sz="4" w:space="0"/>
              <w:left w:val="nil"/>
              <w:bottom w:val="single" w:color="000000" w:sz="4" w:space="0"/>
              <w:right w:val="single" w:color="000000" w:sz="4" w:space="0"/>
            </w:tcBorders>
            <w:noWrap w:val="0"/>
            <w:vAlign w:val="center"/>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采用非强制性手段能够达到行政管理目的的，不得实施行政强制；违法行为情节轻微或者社会危害较小的，可以不实施行政强制</w:t>
            </w:r>
          </w:p>
        </w:tc>
        <w:tc>
          <w:tcPr>
            <w:tcW w:w="3975" w:type="dxa"/>
            <w:tcBorders>
              <w:top w:val="single" w:color="000000" w:sz="4" w:space="0"/>
              <w:left w:val="nil"/>
              <w:bottom w:val="single" w:color="000000" w:sz="4" w:space="0"/>
              <w:right w:val="single" w:color="000000" w:sz="4" w:space="0"/>
            </w:tcBorders>
            <w:noWrap w:val="0"/>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禁止将罚没收入与行政执法机关利益挂钩。</w:t>
            </w:r>
          </w:p>
        </w:tc>
        <w:tc>
          <w:tcPr>
            <w:tcW w:w="2357" w:type="dxa"/>
            <w:tcBorders>
              <w:top w:val="single" w:color="000000" w:sz="4" w:space="0"/>
              <w:left w:val="nil"/>
              <w:bottom w:val="single" w:color="000000" w:sz="4" w:space="0"/>
              <w:right w:val="single" w:color="000000" w:sz="4" w:space="0"/>
            </w:tcBorders>
            <w:noWrap w:val="0"/>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1.加大林草行业法律法规宣传力度。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2.加强日常监管，推广运用说服教育、劝导示范等方式积极宣传指导。</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3.利用“双随机、一公开”等监管方式开展日常监管及普法工作，规范各类涉林草行为。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1255" w:type="dxa"/>
            <w:tcBorders>
              <w:top w:val="single" w:color="000000" w:sz="4" w:space="0"/>
              <w:left w:val="nil"/>
              <w:bottom w:val="single" w:color="000000" w:sz="4" w:space="0"/>
              <w:right w:val="single" w:color="000000" w:sz="4" w:space="0"/>
            </w:tcBorders>
            <w:noWrap w:val="0"/>
            <w:vAlign w:val="center"/>
          </w:tcPr>
          <w:p>
            <w:pPr>
              <w:spacing w:beforeLines="0" w:afterLine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0" w:type="dxa"/>
            <w:tcBorders>
              <w:top w:val="single" w:color="auto" w:sz="4" w:space="0"/>
              <w:left w:val="nil"/>
              <w:bottom w:val="single" w:color="auto" w:sz="4" w:space="0"/>
              <w:right w:val="single" w:color="auto" w:sz="4" w:space="0"/>
            </w:tcBorders>
            <w:noWrap w:val="0"/>
            <w:vAlign w:val="center"/>
          </w:tcPr>
          <w:p>
            <w:pPr>
              <w:widowControl/>
              <w:numPr>
                <w:ilvl w:val="0"/>
                <w:numId w:val="1"/>
              </w:numPr>
              <w:spacing w:line="400" w:lineRule="exact"/>
              <w:ind w:left="425" w:leftChars="0" w:hanging="425" w:firstLineChars="0"/>
              <w:jc w:val="left"/>
              <w:textAlignment w:val="center"/>
              <w:rPr>
                <w:rFonts w:hint="eastAsia" w:ascii="楷体_GB2312" w:hAnsi="楷体_GB2312" w:eastAsia="楷体_GB2312" w:cs="楷体_GB2312"/>
                <w:color w:val="000000"/>
                <w:kern w:val="0"/>
                <w:sz w:val="24"/>
                <w:szCs w:val="24"/>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rPr>
            </w:pPr>
          </w:p>
        </w:tc>
        <w:tc>
          <w:tcPr>
            <w:tcW w:w="82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270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发生或可能发生医疗机构放射性职业病事故场所、材料和设备的行政强制</w:t>
            </w:r>
          </w:p>
        </w:tc>
        <w:tc>
          <w:tcPr>
            <w:tcW w:w="25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违法行为情节显著轻微，及时纠正不会造成危害后果的</w:t>
            </w:r>
          </w:p>
        </w:tc>
        <w:tc>
          <w:tcPr>
            <w:tcW w:w="397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《中华人民共和国职业病防治法》第六十四条  发生职业病危害事故或者有证据证明危害状态可能导致职业病危害事故发生时，安全生产监督管理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安全生产监督管理部门应当及时解除控制措施。第八十七条  对医疗机构放射性职业病危害控制的监督管理，由卫生行政部门依照本法的规定实施。</w:t>
            </w:r>
          </w:p>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《中华人民共和国行政强制法》第十六条行政机关履行行政管理职责，依照法律、法规的规定，实施行政强制措施。</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违法行为情节显着轻微或者没有明显社会危害的，可以不采取行政强制措施。</w:t>
            </w:r>
          </w:p>
        </w:tc>
        <w:tc>
          <w:tcPr>
            <w:tcW w:w="2357"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说服教育、劝导示范、行政指导、行政约谈</w:t>
            </w:r>
          </w:p>
        </w:tc>
        <w:tc>
          <w:tcPr>
            <w:tcW w:w="125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0" w:type="auto"/>
          </w:tcPr>
          <w:p>
            <w:pPr>
              <w:widowControl/>
              <w:numPr>
                <w:ilvl w:val="0"/>
                <w:numId w:val="1"/>
              </w:numPr>
              <w:spacing w:line="400" w:lineRule="exact"/>
              <w:ind w:left="425" w:leftChars="0" w:hanging="425" w:firstLineChars="0"/>
              <w:jc w:val="left"/>
              <w:textAlignment w:val="center"/>
              <w:rPr>
                <w:rFonts w:hint="eastAsia" w:ascii="楷体_GB2312" w:hAnsi="楷体_GB2312" w:eastAsia="楷体_GB2312" w:cs="楷体_GB2312"/>
                <w:color w:val="000000"/>
                <w:kern w:val="0"/>
                <w:sz w:val="24"/>
                <w:szCs w:val="24"/>
              </w:rPr>
            </w:pPr>
          </w:p>
        </w:tc>
        <w:tc>
          <w:tcPr>
            <w:tcW w:w="0" w:type="auto"/>
          </w:tcPr>
          <w:p>
            <w:pPr>
              <w:widowControl/>
              <w:spacing w:line="400" w:lineRule="exact"/>
              <w:jc w:val="left"/>
              <w:textAlignment w:val="center"/>
              <w:rPr>
                <w:rFonts w:hint="eastAsia" w:ascii="楷体_GB2312" w:hAnsi="楷体_GB2312" w:eastAsia="楷体_GB2312" w:cs="楷体_GB2312"/>
                <w:color w:val="000000"/>
                <w:kern w:val="0"/>
                <w:sz w:val="24"/>
                <w:szCs w:val="24"/>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责令暂停导致职业病危害事故的作业；封存造成职业病危害事故或者可能导致职业病危害事故发生的材料和设备；组织控制职业病危害事故现场的行政强制</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违法行为情节显著轻微，及时纠正不会造成危害后果的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《中华人民共和国职业病防治法》 第六十四条  发生职业病危害事故或者有证据证明危害状态可能导致职业病危害事故发生时，卫生行政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卫生行政部门应当及时解除控制措施。</w:t>
            </w:r>
          </w:p>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《中华人民共和国行政强制法》第十六条行政机关履行行政管理职责，依照法律、法规的规定，实施行政强制措施。</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违法行为情节显着轻微或者没有明显社会危害的，可以不采取行政强制措施。</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说服教育、劝导示范、行政指导、行政约谈</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0" w:type="auto"/>
          </w:tcPr>
          <w:p>
            <w:pPr>
              <w:widowControl/>
              <w:numPr>
                <w:ilvl w:val="0"/>
                <w:numId w:val="1"/>
              </w:numPr>
              <w:spacing w:line="400" w:lineRule="exact"/>
              <w:ind w:left="425" w:leftChars="0" w:hanging="425" w:firstLineChars="0"/>
              <w:jc w:val="left"/>
              <w:textAlignment w:val="center"/>
              <w:rPr>
                <w:rFonts w:hint="eastAsia" w:ascii="楷体_GB2312" w:hAnsi="楷体_GB2312" w:eastAsia="楷体_GB2312" w:cs="楷体_GB2312"/>
                <w:color w:val="000000"/>
                <w:kern w:val="0"/>
                <w:sz w:val="24"/>
                <w:szCs w:val="24"/>
              </w:rPr>
            </w:pPr>
          </w:p>
        </w:tc>
        <w:tc>
          <w:tcPr>
            <w:tcW w:w="0" w:type="auto"/>
          </w:tcPr>
          <w:p>
            <w:pPr>
              <w:widowControl/>
              <w:spacing w:line="400" w:lineRule="exact"/>
              <w:jc w:val="left"/>
              <w:textAlignment w:val="center"/>
              <w:rPr>
                <w:rFonts w:hint="eastAsia" w:ascii="楷体_GB2312" w:hAnsi="楷体_GB2312" w:eastAsia="楷体_GB2312" w:cs="楷体_GB2312"/>
                <w:color w:val="000000"/>
                <w:kern w:val="0"/>
                <w:sz w:val="24"/>
                <w:szCs w:val="24"/>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对未随车携带超限运输车辆通行证行为的行政强制</w:t>
            </w:r>
          </w:p>
        </w:tc>
        <w:tc>
          <w:tcPr>
            <w:tcW w:w="0" w:type="auto"/>
            <w:vAlign w:val="center"/>
          </w:tcPr>
          <w:p>
            <w:pPr>
              <w:widowControl/>
              <w:spacing w:line="400" w:lineRule="exact"/>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400" w:lineRule="exact"/>
              <w:ind w:firstLine="210" w:firstLineChars="10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2.当场能提供可供查验的证件信息，且经查验相关证件合法有效的。</w:t>
            </w:r>
          </w:p>
        </w:tc>
        <w:tc>
          <w:tcPr>
            <w:tcW w:w="0" w:type="auto"/>
            <w:vAlign w:val="center"/>
          </w:tcPr>
          <w:p>
            <w:pPr>
              <w:widowControl/>
              <w:spacing w:line="400" w:lineRule="exact"/>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1.《公路安全保护条例》</w:t>
            </w:r>
          </w:p>
          <w:p>
            <w:pPr>
              <w:widowControl/>
              <w:spacing w:line="400" w:lineRule="exact"/>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第六十五条第二款  未随车携带超限运输车辆通行证的，由公路管理机构扣留车辆，责令车辆驾驶人提供超限运输车辆通行证或者相应的证明。 </w:t>
            </w:r>
          </w:p>
          <w:p>
            <w:pPr>
              <w:widowControl/>
              <w:spacing w:line="400" w:lineRule="exact"/>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2.《超限运输车辆行驶公路管理规定》</w:t>
            </w:r>
          </w:p>
          <w:p>
            <w:pPr>
              <w:widowControl/>
              <w:spacing w:line="400" w:lineRule="exact"/>
              <w:ind w:firstLine="210" w:firstLineChars="10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 xml:space="preserve"> 第四十七条  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tc>
        <w:tc>
          <w:tcPr>
            <w:tcW w:w="0" w:type="auto"/>
            <w:vAlign w:val="center"/>
          </w:tcPr>
          <w:p>
            <w:pPr>
              <w:widowControl/>
              <w:spacing w:line="400" w:lineRule="exact"/>
              <w:ind w:firstLine="210" w:firstLineChars="10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容缺执法、说服教育、行政告诫</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0" w:type="auto"/>
          </w:tcPr>
          <w:p>
            <w:pPr>
              <w:widowControl/>
              <w:numPr>
                <w:ilvl w:val="0"/>
                <w:numId w:val="1"/>
              </w:numPr>
              <w:spacing w:line="400" w:lineRule="exact"/>
              <w:ind w:left="425" w:leftChars="0" w:hanging="425" w:firstLineChars="0"/>
              <w:jc w:val="left"/>
              <w:textAlignment w:val="center"/>
              <w:rPr>
                <w:rFonts w:hint="eastAsia" w:ascii="楷体_GB2312" w:hAnsi="楷体_GB2312" w:eastAsia="楷体_GB2312" w:cs="楷体_GB2312"/>
                <w:color w:val="000000"/>
                <w:kern w:val="0"/>
                <w:sz w:val="24"/>
                <w:szCs w:val="24"/>
              </w:rPr>
            </w:pPr>
          </w:p>
        </w:tc>
        <w:tc>
          <w:tcPr>
            <w:tcW w:w="0" w:type="auto"/>
          </w:tcPr>
          <w:p>
            <w:pPr>
              <w:widowControl/>
              <w:spacing w:line="400" w:lineRule="exact"/>
              <w:jc w:val="left"/>
              <w:textAlignment w:val="center"/>
              <w:rPr>
                <w:rFonts w:hint="eastAsia" w:ascii="楷体_GB2312" w:hAnsi="楷体_GB2312" w:eastAsia="楷体_GB2312" w:cs="楷体_GB2312"/>
                <w:color w:val="000000"/>
                <w:kern w:val="0"/>
                <w:sz w:val="24"/>
                <w:szCs w:val="24"/>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对没有车辆营运证又无法当场提供其他有效证明的车辆实施的行政强制</w:t>
            </w:r>
          </w:p>
        </w:tc>
        <w:tc>
          <w:tcPr>
            <w:tcW w:w="0" w:type="auto"/>
            <w:vAlign w:val="center"/>
          </w:tcPr>
          <w:p>
            <w:pPr>
              <w:widowControl/>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1.违法行为调查过程中，不存在拒不接受执法部门调查处理、阻碍执法、煽动抗拒执法等妨碍执行公务的行为。</w:t>
            </w:r>
          </w:p>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2.当场能提供可供查验的证件信息，且经查验相关证件合法有效的。</w:t>
            </w:r>
          </w:p>
        </w:tc>
        <w:tc>
          <w:tcPr>
            <w:tcW w:w="0" w:type="auto"/>
            <w:vAlign w:val="center"/>
          </w:tcPr>
          <w:p>
            <w:pPr>
              <w:widowControl/>
              <w:spacing w:line="400" w:lineRule="exact"/>
              <w:ind w:firstLine="21" w:firstLineChars="10"/>
              <w:jc w:val="left"/>
              <w:textAlignment w:val="center"/>
              <w:rPr>
                <w:rFonts w:hint="eastAsia" w:ascii="宋体" w:hAnsi="宋体" w:eastAsia="宋体" w:cs="宋体"/>
                <w:sz w:val="21"/>
                <w:szCs w:val="21"/>
              </w:rPr>
            </w:pPr>
            <w:r>
              <w:rPr>
                <w:rFonts w:hint="eastAsia" w:ascii="宋体" w:hAnsi="宋体" w:eastAsia="宋体" w:cs="宋体"/>
                <w:sz w:val="21"/>
                <w:szCs w:val="21"/>
              </w:rPr>
              <w:t>1.《道路运输条例》</w:t>
            </w:r>
          </w:p>
          <w:p>
            <w:pPr>
              <w:pStyle w:val="3"/>
              <w:ind w:firstLine="21" w:firstLineChars="10"/>
              <w:rPr>
                <w:rFonts w:hint="eastAsia" w:ascii="宋体" w:hAnsi="宋体" w:eastAsia="宋体" w:cs="宋体"/>
                <w:sz w:val="21"/>
                <w:szCs w:val="21"/>
              </w:rPr>
            </w:pPr>
            <w:r>
              <w:rPr>
                <w:rFonts w:hint="eastAsia" w:ascii="宋体" w:hAnsi="宋体" w:eastAsia="宋体" w:cs="宋体"/>
                <w:sz w:val="21"/>
                <w:szCs w:val="21"/>
              </w:rPr>
              <w:t>第六十二条　县级以上人民政府交通运输主管部门的工作人员在实施道路运输监督检查过程中，对没有车辆营运证又无法当场提供其他有效证明的车辆予以暂扣的，应当妥善保管，不得使用，不得收取或者变相收取保管费用。</w:t>
            </w:r>
          </w:p>
          <w:p>
            <w:pPr>
              <w:widowControl/>
              <w:spacing w:line="400" w:lineRule="exact"/>
              <w:ind w:firstLine="21" w:firstLineChars="10"/>
              <w:jc w:val="left"/>
              <w:textAlignment w:val="center"/>
              <w:rPr>
                <w:rFonts w:hint="eastAsia" w:ascii="宋体" w:hAnsi="宋体" w:eastAsia="宋体" w:cs="宋体"/>
                <w:sz w:val="21"/>
                <w:szCs w:val="21"/>
              </w:rPr>
            </w:pPr>
            <w:r>
              <w:rPr>
                <w:rFonts w:hint="eastAsia" w:ascii="宋体" w:hAnsi="宋体" w:eastAsia="宋体" w:cs="宋体"/>
                <w:sz w:val="21"/>
                <w:szCs w:val="21"/>
              </w:rPr>
              <w:t>2.《道路货物运输及站场管理规定》</w:t>
            </w:r>
          </w:p>
          <w:p>
            <w:pPr>
              <w:pStyle w:val="2"/>
              <w:ind w:firstLine="21" w:firstLineChars="10"/>
              <w:rPr>
                <w:rFonts w:hint="eastAsia" w:ascii="宋体" w:hAnsi="宋体" w:eastAsia="宋体" w:cs="宋体"/>
                <w:sz w:val="21"/>
                <w:szCs w:val="21"/>
              </w:rPr>
            </w:pPr>
            <w:r>
              <w:rPr>
                <w:rFonts w:hint="eastAsia" w:ascii="宋体" w:hAnsi="宋体" w:eastAsia="宋体" w:cs="宋体"/>
                <w:sz w:val="21"/>
                <w:szCs w:val="21"/>
              </w:rPr>
              <w:t>第五十六条第一款　道路运输管理机构的工作人员在实施道路运输监督检查过程中，对没有《道路运输证》又无法当场提供其他有效证明的货运车辆可以予以暂扣，并出具《道路运输车辆暂扣凭证》（见附件5）。对暂扣车辆应当妥善保管，不得使用，不得收取或者变相收取保管费用。</w:t>
            </w:r>
          </w:p>
          <w:p>
            <w:pPr>
              <w:pStyle w:val="2"/>
              <w:ind w:firstLine="21" w:firstLineChars="10"/>
              <w:rPr>
                <w:rFonts w:hint="eastAsia" w:ascii="宋体" w:hAnsi="宋体" w:eastAsia="宋体" w:cs="宋体"/>
                <w:sz w:val="21"/>
                <w:szCs w:val="21"/>
              </w:rPr>
            </w:pPr>
            <w:r>
              <w:rPr>
                <w:rFonts w:hint="eastAsia" w:ascii="宋体" w:hAnsi="宋体" w:eastAsia="宋体" w:cs="宋体"/>
                <w:sz w:val="21"/>
                <w:szCs w:val="21"/>
              </w:rPr>
              <w:t>3.《道路旅客运输及客运站管理规定》</w:t>
            </w:r>
          </w:p>
          <w:p>
            <w:pPr>
              <w:pStyle w:val="2"/>
              <w:ind w:firstLine="21" w:firstLineChars="1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第九十一条第一款　道路运输管理机构的工作人员在实施道路运输监督检查过程中，对没有合法有效《道路运输证》又无法当场提供其他有效证明的客运车辆可以予以暂扣，并出具《道路运输车辆暂扣凭证》（见附件14），对暂扣车辆应当妥善保管，不得使用，不得收取或者变相收取保管费用。</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容缺执法、说服教育、行政告诫</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省、设区的市或县级</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F1B4B"/>
    <w:multiLevelType w:val="singleLevel"/>
    <w:tmpl w:val="003F1B4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ZjZTcyMTEwMWU5MmZhM2NmYzM3NzMwNjA4NDAifQ=="/>
  </w:docVars>
  <w:rsids>
    <w:rsidRoot w:val="00000000"/>
    <w:rsid w:val="053F6E62"/>
    <w:rsid w:val="095C15F6"/>
    <w:rsid w:val="147012A1"/>
    <w:rsid w:val="21740CCD"/>
    <w:rsid w:val="2E691A8F"/>
    <w:rsid w:val="305760BE"/>
    <w:rsid w:val="368F1E48"/>
    <w:rsid w:val="47BB36B5"/>
    <w:rsid w:val="497955D6"/>
    <w:rsid w:val="4C60026A"/>
    <w:rsid w:val="50A849F3"/>
    <w:rsid w:val="50FE7891"/>
    <w:rsid w:val="560C5905"/>
    <w:rsid w:val="709E37DA"/>
    <w:rsid w:val="70FF2852"/>
    <w:rsid w:val="746D7642"/>
    <w:rsid w:val="78A12730"/>
    <w:rsid w:val="78D9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eastAsia="宋体" w:cs="Times New Roman"/>
      <w:sz w:val="21"/>
      <w:szCs w:val="22"/>
    </w:rPr>
  </w:style>
  <w:style w:type="paragraph" w:styleId="3">
    <w:name w:val="Normal (Web)"/>
    <w:basedOn w:val="1"/>
    <w:qFormat/>
    <w:uiPriority w:val="99"/>
    <w:rPr>
      <w:sz w:val="24"/>
      <w:szCs w:val="22"/>
    </w:r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5018</Words>
  <Characters>5111</Characters>
  <Lines>0</Lines>
  <Paragraphs>0</Paragraphs>
  <TotalTime>2</TotalTime>
  <ScaleCrop>false</ScaleCrop>
  <LinksUpToDate>false</LinksUpToDate>
  <CharactersWithSpaces>5219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Administrator.PC-20181011GBOI</dc:creator>
  <cp:lastModifiedBy>西红柿炒番茄</cp:lastModifiedBy>
  <dcterms:modified xsi:type="dcterms:W3CDTF">2022-06-23T06:58:01Z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8BD345278D574411AEEEDA81FD3B6030</vt:lpwstr>
  </property>
</Properties>
</file>