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30953">
      <w:pPr>
        <w:spacing w:before="0" w:after="0" w:line="4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000000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6"/>
          <w:shd w:val="clear" w:fill="auto"/>
        </w:rPr>
        <w:t>汤原县文体广电和旅游局</w:t>
      </w:r>
      <w:r>
        <w:rPr>
          <w:rFonts w:ascii="方正小标宋_GBK" w:hAnsi="方正小标宋_GBK" w:eastAsia="方正小标宋_GBK" w:cs="方正小标宋_GBK"/>
          <w:color w:val="000000"/>
          <w:spacing w:val="0"/>
          <w:position w:val="0"/>
          <w:sz w:val="36"/>
          <w:shd w:val="clear" w:fill="auto"/>
        </w:rPr>
        <w:t>2024</w:t>
      </w:r>
      <w:r>
        <w:rPr>
          <w:rFonts w:ascii="宋体" w:hAnsi="宋体" w:eastAsia="宋体" w:cs="宋体"/>
          <w:color w:val="000000"/>
          <w:spacing w:val="0"/>
          <w:position w:val="0"/>
          <w:sz w:val="36"/>
          <w:shd w:val="clear" w:fill="auto"/>
        </w:rPr>
        <w:t>年度政府信息公开</w:t>
      </w:r>
    </w:p>
    <w:p w14:paraId="634A4C2B">
      <w:pPr>
        <w:spacing w:before="0" w:after="0" w:line="4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000000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6"/>
          <w:shd w:val="clear" w:fill="auto"/>
        </w:rPr>
        <w:t>工作年度报告</w:t>
      </w:r>
    </w:p>
    <w:p w14:paraId="0D214028">
      <w:pPr>
        <w:spacing w:before="0" w:after="0" w:line="460" w:lineRule="auto"/>
        <w:ind w:left="0" w:right="0" w:firstLine="0"/>
        <w:jc w:val="center"/>
        <w:rPr>
          <w:rFonts w:ascii="方正小标宋_GBK" w:hAnsi="方正小标宋_GBK" w:eastAsia="方正小标宋_GBK" w:cs="方正小标宋_GBK"/>
          <w:color w:val="000000"/>
          <w:spacing w:val="0"/>
          <w:position w:val="0"/>
          <w:sz w:val="36"/>
          <w:shd w:val="clear" w:fill="auto"/>
        </w:rPr>
      </w:pPr>
    </w:p>
    <w:p w14:paraId="5774CB8C">
      <w:pPr>
        <w:spacing w:before="0" w:after="0" w:line="460" w:lineRule="auto"/>
        <w:ind w:left="0" w:right="0" w:firstLine="560"/>
        <w:jc w:val="both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一、总体情况</w:t>
      </w:r>
    </w:p>
    <w:p w14:paraId="268FF922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2024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年度，汤原县文体广电和旅游局按照《中华人民共和国政府信息公开条例》规定全面、准确、及时做好公开工作，现将工作总结如下：</w:t>
      </w:r>
    </w:p>
    <w:p w14:paraId="1182EB1C">
      <w:pPr>
        <w:widowControl w:val="0"/>
        <w:numPr>
          <w:ilvl w:val="0"/>
          <w:numId w:val="0"/>
        </w:numPr>
        <w:spacing w:before="0" w:after="0" w:line="240" w:lineRule="auto"/>
        <w:ind w:left="0" w:leftChars="0" w:right="0" w:rightChars="0" w:firstLine="560" w:firstLineChars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2"/>
          <w:shd w:val="clear" w:fill="FFFFFF"/>
        </w:rPr>
        <w:t>（一）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主动公开情况</w:t>
      </w:r>
    </w:p>
    <w:p w14:paraId="47F88D45">
      <w:pPr>
        <w:widowControl w:val="0"/>
        <w:numPr>
          <w:ilvl w:val="0"/>
          <w:numId w:val="0"/>
        </w:numPr>
        <w:spacing w:before="0" w:after="0" w:line="240" w:lineRule="auto"/>
        <w:ind w:left="0" w:leftChars="0" w:right="0" w:rightChars="0" w:firstLine="560" w:firstLineChars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一是拓展主动公开内容。我局对本部门政府信息进行梳理，进一步细化主动公开范围和公开目录，并进行动态更新。对于涉及服务对象权利和义务的规范性文件，按《中华人民共和国政府信息公开条例》规定全面、准确、及时做好公开工作。本年度我局在政府信息公开平台上主动公开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19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条。在汤原县文体广电和旅游局抖音平台发布信息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144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条。在汤原博物馆公众号上发布信息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366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条，汤原博物馆抖音平台发布信息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339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条。在汤原县图书馆公众号上发布信息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1259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条，在汤原县文化馆公众号上发布信息</w:t>
      </w: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159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条。坚持做到了基本内容变更后尽快更新，其他信息随时加载更新，经常性工作定期公开，阶段性工作按时公开，临时性工作随时公开。二是切实抓好社会关切事项回应。通过健全政府信息舆情的收集、研判、处置和回应机制，充分发挥正面引导作用，对社会关注的热点问题及时予以回应与反馈。对前来我局办事群众提出的问题，能当面解答的，及时给予当面解答；不能当面解答的，在约定的时限内给予答复；不属于我局受理范围的，告知其应当受理的部门。</w:t>
      </w:r>
    </w:p>
    <w:p w14:paraId="026AEEFA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（二）依申请公开情况</w:t>
      </w:r>
    </w:p>
    <w:p w14:paraId="3B6EAC96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自《政府信息公开条例》正式实施至本年度末，本单位未收到当面申请、网站提交、电子邮件、传真、信函和其他形式的政府信息公开申请。</w:t>
      </w:r>
    </w:p>
    <w:p w14:paraId="53D036E9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（三）政府信息管理情况</w:t>
      </w:r>
    </w:p>
    <w:p w14:paraId="1F275F56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汤原县文旅局严格落实政务公开制度化、规范化管理，切实履行政府信息公开审查机制，规范公开内容，定期进行自查自纠，严格做好政府信息管理工作。</w:t>
      </w:r>
    </w:p>
    <w:p w14:paraId="2D087E36">
      <w:pPr>
        <w:widowControl w:val="0"/>
        <w:numPr>
          <w:ilvl w:val="0"/>
          <w:numId w:val="0"/>
        </w:numPr>
        <w:spacing w:before="0" w:after="0" w:line="240" w:lineRule="auto"/>
        <w:ind w:left="0" w:leftChars="0" w:right="0" w:rightChars="0" w:firstLine="560" w:firstLineChars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2"/>
          <w:shd w:val="clear" w:fill="FFFFFF"/>
        </w:rPr>
        <w:t>（四）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政府信息公开平台建设</w:t>
      </w:r>
    </w:p>
    <w:p w14:paraId="0488099A">
      <w:pPr>
        <w:widowControl w:val="0"/>
        <w:numPr>
          <w:ilvl w:val="0"/>
          <w:numId w:val="0"/>
        </w:numPr>
        <w:spacing w:before="0" w:after="0" w:line="240" w:lineRule="auto"/>
        <w:ind w:left="0" w:leftChars="0" w:right="0" w:rightChars="0" w:firstLine="560" w:firstLineChars="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一是完善政府信息公开专栏建设工作，及时发布法定主动公开的政府信息，处理依申请公开信息。二是持续推进微信公众号等新媒体平台建设。不断创新宣传形式，丰富宣传内容。</w:t>
      </w:r>
    </w:p>
    <w:p w14:paraId="75DB5414">
      <w:pPr>
        <w:widowControl w:val="0"/>
        <w:numPr>
          <w:ilvl w:val="0"/>
          <w:numId w:val="0"/>
        </w:numPr>
        <w:spacing w:before="0" w:after="0" w:line="240" w:lineRule="auto"/>
        <w:ind w:left="0" w:leftChars="0" w:right="0" w:rightChars="0" w:firstLine="560" w:firstLineChars="0"/>
        <w:jc w:val="left"/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8"/>
          <w:szCs w:val="22"/>
          <w:shd w:val="clear" w:fill="FFFFFF"/>
        </w:rPr>
        <w:t>（五）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监督保障方面</w:t>
      </w:r>
    </w:p>
    <w:p w14:paraId="3020B504">
      <w:pPr>
        <w:widowControl w:val="0"/>
        <w:numPr>
          <w:numId w:val="0"/>
        </w:numPr>
        <w:spacing w:before="0" w:after="0" w:line="240" w:lineRule="auto"/>
        <w:ind w:right="0" w:rightChars="0" w:firstLine="560" w:firstLineChars="200"/>
        <w:jc w:val="left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FFFFFF"/>
        </w:rPr>
      </w:pPr>
      <w:bookmarkStart w:id="0" w:name="_GoBack"/>
      <w:bookmarkEnd w:id="0"/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一是定期对我局信息公开工作进行审查，督促落实整改，做好信息动态更新和维护工作。二是通过政务公开电话等方式，接受社会监督，保障公开渠道畅通。</w:t>
      </w:r>
    </w:p>
    <w:p w14:paraId="5C8DC9E3">
      <w:pPr>
        <w:spacing w:before="0" w:after="0" w:line="460" w:lineRule="auto"/>
        <w:ind w:left="0" w:right="0" w:firstLine="560"/>
        <w:jc w:val="both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二、主动公开政府信息情况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4"/>
        <w:gridCol w:w="2104"/>
        <w:gridCol w:w="2105"/>
        <w:gridCol w:w="2105"/>
      </w:tblGrid>
      <w:tr w14:paraId="3690B5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56" w:type="dxa"/>
              <w:right w:w="56" w:type="dxa"/>
            </w:tcMar>
            <w:vAlign w:val="center"/>
          </w:tcPr>
          <w:p w14:paraId="17F654A0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第二十条第（一）项</w:t>
            </w:r>
          </w:p>
        </w:tc>
      </w:tr>
      <w:tr w14:paraId="474D53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CE8C1CE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D66DCE6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本年制发件数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FBDC4C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本年废止件数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90171B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现行有效件数</w:t>
            </w:r>
          </w:p>
        </w:tc>
      </w:tr>
      <w:tr w14:paraId="749863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A666DB5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规章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EEB75F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762BD1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0C2F89E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0E5A1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5FE6CE0D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行政规范性文件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7B4ED9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02D089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226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BDB87E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4FD06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56" w:type="dxa"/>
              <w:right w:w="56" w:type="dxa"/>
            </w:tcMar>
            <w:vAlign w:val="center"/>
          </w:tcPr>
          <w:p w14:paraId="1A54F037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第二十条第（五）项</w:t>
            </w:r>
          </w:p>
        </w:tc>
      </w:tr>
      <w:tr w14:paraId="340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334FDA76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093AE37F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本年处理决定数量</w:t>
            </w:r>
          </w:p>
        </w:tc>
      </w:tr>
      <w:tr w14:paraId="6738BC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D63155C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行政许可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503C5A6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21124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56" w:type="dxa"/>
              <w:right w:w="56" w:type="dxa"/>
            </w:tcMar>
            <w:vAlign w:val="center"/>
          </w:tcPr>
          <w:p w14:paraId="604B0F26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第二十条第（六）项</w:t>
            </w:r>
          </w:p>
        </w:tc>
      </w:tr>
      <w:tr w14:paraId="613320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2C37F05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9D40511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本年处理决定数量</w:t>
            </w:r>
          </w:p>
        </w:tc>
      </w:tr>
      <w:tr w14:paraId="790757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00E67FC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行政处罚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CFC2DE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625B5E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AB3FEE0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行政强制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3157605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2FDDBC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72" w:type="dxa"/>
            <w:gridSpan w:val="4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4C6E7"/>
            <w:tcMar>
              <w:left w:w="56" w:type="dxa"/>
              <w:right w:w="56" w:type="dxa"/>
            </w:tcMar>
            <w:vAlign w:val="center"/>
          </w:tcPr>
          <w:p w14:paraId="5E008D34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第二十条第（八）项</w:t>
            </w:r>
          </w:p>
        </w:tc>
      </w:tr>
      <w:tr w14:paraId="6254B8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5FDF24A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信息内容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39DB17C3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本年收费金额（单位：万元）</w:t>
            </w:r>
          </w:p>
        </w:tc>
      </w:tr>
      <w:tr w14:paraId="461A1E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DB3E668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行政事业性收费</w:t>
            </w:r>
          </w:p>
        </w:tc>
        <w:tc>
          <w:tcPr>
            <w:tcW w:w="6804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F4704A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</w:tbl>
    <w:p w14:paraId="7ED6CA3C">
      <w:pPr>
        <w:spacing w:before="0" w:after="0" w:line="460" w:lineRule="auto"/>
        <w:ind w:left="0" w:right="0" w:firstLine="560"/>
        <w:jc w:val="both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三、收到和处理政府信息公开申请情况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4"/>
        <w:gridCol w:w="1059"/>
        <w:gridCol w:w="2455"/>
        <w:gridCol w:w="785"/>
        <w:gridCol w:w="601"/>
        <w:gridCol w:w="663"/>
        <w:gridCol w:w="614"/>
        <w:gridCol w:w="578"/>
        <w:gridCol w:w="407"/>
        <w:gridCol w:w="432"/>
      </w:tblGrid>
      <w:tr w14:paraId="4F69DD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6D14BE9">
            <w:pPr>
              <w:spacing w:before="0" w:after="0" w:line="280" w:lineRule="auto"/>
              <w:ind w:left="0" w:right="0" w:firstLine="0"/>
              <w:jc w:val="left"/>
              <w:rPr>
                <w:spacing w:val="0"/>
                <w:position w:val="0"/>
                <w:shd w:val="clear" w:fill="auto"/>
              </w:rPr>
            </w:pPr>
            <w:r>
              <w:rPr>
                <w:rFonts w:ascii="仿宋" w:hAnsi="仿宋" w:eastAsia="仿宋" w:cs="仿宋"/>
                <w:color w:val="000000"/>
                <w:spacing w:val="0"/>
                <w:position w:val="0"/>
                <w:sz w:val="21"/>
                <w:shd w:val="clear" w:fill="auto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EB76B2B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申请人情况</w:t>
            </w:r>
          </w:p>
        </w:tc>
      </w:tr>
      <w:tr w14:paraId="2540E7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34879F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4E30D95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3FBC580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0EF4571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总计</w:t>
            </w:r>
          </w:p>
        </w:tc>
      </w:tr>
      <w:tr w14:paraId="0DE90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5035CC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2B18CB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0E2CEA3">
            <w:pPr>
              <w:spacing w:before="0" w:after="0" w:line="280" w:lineRule="auto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商业</w:t>
            </w:r>
          </w:p>
          <w:p w14:paraId="5D4AB1E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企业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D1DA329">
            <w:pPr>
              <w:spacing w:before="0" w:after="0" w:line="280" w:lineRule="auto"/>
              <w:ind w:left="0" w:right="0" w:firstLine="0"/>
              <w:jc w:val="center"/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科研</w:t>
            </w:r>
          </w:p>
          <w:p w14:paraId="403CC9C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机构</w:t>
            </w:r>
          </w:p>
        </w:tc>
        <w:tc>
          <w:tcPr>
            <w:tcW w:w="65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2F2E641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社会公益组织</w:t>
            </w:r>
          </w:p>
        </w:tc>
        <w:tc>
          <w:tcPr>
            <w:tcW w:w="61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D45C2E5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法律服务机构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C175E86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4E832E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</w:p>
        </w:tc>
      </w:tr>
      <w:tr w14:paraId="7FBDE2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D759947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51F81B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3B234A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C7D710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CEBE90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3DAECA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D87564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06FBAE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5261EF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66F66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3C5B9C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0836E9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3C9573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0382C4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62CE9B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5B16E7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D046D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27802A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0D507A6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DAFB053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（一）予以公开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79A43A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5A84D0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E261A6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5D42EE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D6B995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6BCA2D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D7C61F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315DCE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8A18262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850" w:type="dxa"/>
            <w:gridSpan w:val="2"/>
            <w:tcBorders>
              <w:top w:val="single" w:color="000000" w:sz="0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D658898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（二）部分公开</w:t>
            </w:r>
            <w:r>
              <w:rPr>
                <w:rFonts w:ascii="仿宋" w:hAnsi="仿宋" w:eastAsia="仿宋" w:cs="仿宋"/>
                <w:color w:val="000000"/>
                <w:spacing w:val="0"/>
                <w:position w:val="0"/>
                <w:sz w:val="21"/>
                <w:shd w:val="clear" w:fill="auto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A6B4E2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ACC198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21A59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32839D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28FFC3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EC29F3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853722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6BC49D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688BA5F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E976E0A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（三）不予公开</w:t>
            </w: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914B160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属于国家秘密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7910E5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2FE6CB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8E45D5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5FE6B0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3CD5BA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37DD2C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ABF391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0E19B9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756838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B9C475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9854768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其他法律行政法规禁止公开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B044BA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FB7199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AD0ED4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A0F0CE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48C9C2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5E498D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917061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1E727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DB02EA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335B50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420D05F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危及“三安全一稳定”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DDDBF6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0A87B6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5AD2DA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A1DE02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BBF063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DE362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B0F18D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3CEF1D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7924515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CE9764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50F5AE8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保护第三方合法权益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942C77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9B98AD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19429C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95239A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556286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2D3A81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B9496F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42EB0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98B437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377DDA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C791E06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属于三类内部事务信息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F1C23D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05857B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BAC664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02E9B7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32C12D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170DEC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29C716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6361D7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D1B0F5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AA06D40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B22298A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属于四类过程性信息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F88727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DD8E4D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B3A72C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46C3F2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F60993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8DB14F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F87DE9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3CABF6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D33CB57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5F81E6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C9D6F6A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属于行政执法案卷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D5CB18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8DB4AA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03FEAF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6F12B7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2FF92E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4E0592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CE3CBA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82800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40E1E3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552C94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C472EF3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属于行政查询事项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F9217E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467584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B30D1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E8FFF7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064F0F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1E869F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DF3BB0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34FFFD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71AD83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27F5949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（四）无法提供</w:t>
            </w: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C19A237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本机关不掌握相关政府信息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09728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6EAFAB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1A4B13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013D6F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455163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732687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5395A5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6E2E69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E2B087B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3DE15C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48B123C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没有现成信息需要另行制作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CD73A7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402CB0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537BEE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929237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73515E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78B6E2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241EE2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5407B4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0BA8AB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8C7092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CB461F0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补正后申请内容仍不明确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E85862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782358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6F7F49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32851B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D19EA0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E0DFE3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44BB72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2D4EB3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9DDA85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B8BC2AF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（五）不予处理</w:t>
            </w: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D7AA07F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信访举报投诉类申请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F443AA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37E278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7C36D8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3860F3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75ADA8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6B1AE7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751C95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65CF33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0678F6D4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376C9E3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24E1514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重复申请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BC1816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B717B4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E9CC41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9B59BB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F04D9F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A889F5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599502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189A7F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DE71DB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2706FD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2D43732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要求提供公开出版物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C68BEE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F258C8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A10F60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8B96CD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781842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665A55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778FDD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0D45C9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1E7B7FEC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784D476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1355FDB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无正当理由大量反复申请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EBFAF0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858314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3A772D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BFF84D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04EE29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53063E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B937A5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12B525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32D509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8054825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107EBC0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要求行政机关确认或重新出具已获取信息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C27B9B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958CEB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27D5CF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5CE8B2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D27199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0AC5F1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60F9A2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4D4B5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287BF0B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8E7AE7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（六）其他处理</w:t>
            </w: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42AC355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E874D9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2045FA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872A64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95E6D0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D01705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DF7BB6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BB0F13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3E2568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BCA1DF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F3E926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EB55987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6A3D16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47169A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FC7B38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132564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E73410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669CC9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81B5DF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00776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66534F5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01DB38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74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7776826">
            <w:pPr>
              <w:spacing w:before="0" w:after="0" w:line="280" w:lineRule="auto"/>
              <w:ind w:left="0" w:right="0" w:firstLine="0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1A212D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7B4124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1C42A1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90FD39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200BE5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44DE03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7C381B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1E4F18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69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14:paraId="4423474F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385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4DD10F5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（七）总计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21F4A5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FEAD6A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2EDE60C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F5C1E0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7A378A4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F00E54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4962404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  <w:tr w14:paraId="7491FA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719" w:type="dxa"/>
            <w:gridSpan w:val="3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440FCF7C">
            <w:pPr>
              <w:spacing w:before="0" w:after="0" w:line="28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四、结转下年度继续办理</w:t>
            </w:r>
          </w:p>
        </w:tc>
        <w:tc>
          <w:tcPr>
            <w:tcW w:w="85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66B4C35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4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62F930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714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08AE7FA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5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43A426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C7FEEA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2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68B7239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448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36B8CC9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</w:tbl>
    <w:p w14:paraId="58EE272F">
      <w:pPr>
        <w:spacing w:before="0" w:after="0" w:line="460" w:lineRule="auto"/>
        <w:ind w:left="0" w:right="0" w:firstLine="560"/>
        <w:jc w:val="both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四、政府信息公开行政复议、行政诉讼情况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557"/>
        <w:gridCol w:w="557"/>
        <w:gridCol w:w="557"/>
        <w:gridCol w:w="556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14:paraId="7DA44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0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D1C26">
            <w:pPr>
              <w:widowControl w:val="0"/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1D96C55">
            <w:pPr>
              <w:widowControl w:val="0"/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行政诉讼</w:t>
            </w:r>
          </w:p>
        </w:tc>
      </w:tr>
      <w:tr w14:paraId="17CD95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5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ACB3EC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665B87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6ABC4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387C9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尚未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8442EA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5B84A7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8A138A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复议后起诉</w:t>
            </w:r>
          </w:p>
        </w:tc>
      </w:tr>
      <w:tr w14:paraId="5C93AF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671A11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27872CA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3A138D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6C1299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9F17E7E"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60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2B645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维持</w:t>
            </w:r>
          </w:p>
        </w:tc>
        <w:tc>
          <w:tcPr>
            <w:tcW w:w="60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67AD9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纠正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3BDB5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C8CC7E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尚未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审结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232EA7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总计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BFE9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维持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118D48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纠正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5FED9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结果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2F6EE3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尚未</w:t>
            </w:r>
            <w:r>
              <w:rPr>
                <w:rFonts w:ascii="方正黑体_GBK" w:hAnsi="方正黑体_GBK" w:eastAsia="方正黑体_GBK" w:cs="方正黑体_GBK"/>
                <w:color w:val="000000"/>
                <w:spacing w:val="0"/>
                <w:position w:val="0"/>
                <w:sz w:val="21"/>
                <w:shd w:val="clear" w:fill="auto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审结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F8E4BD4">
            <w:pPr>
              <w:spacing w:before="0" w:after="0" w:line="28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总计</w:t>
            </w:r>
          </w:p>
        </w:tc>
      </w:tr>
      <w:tr w14:paraId="039CF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47189C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B61876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E6DD5A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8BEECBF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047BD1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795A76D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4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62E25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04605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B98AF9B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B35355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4080DE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A5E897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8065E0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2939B2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  <w:tc>
          <w:tcPr>
            <w:tcW w:w="6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4F9EF89">
            <w:pPr>
              <w:spacing w:before="0" w:after="0" w:line="280" w:lineRule="auto"/>
              <w:ind w:left="0" w:right="0" w:firstLine="0"/>
              <w:jc w:val="center"/>
              <w:rPr>
                <w:spacing w:val="0"/>
                <w:position w:val="0"/>
                <w:shd w:val="clear" w:fill="auto"/>
              </w:rPr>
            </w:pPr>
            <w:r>
              <w:rPr>
                <w:rFonts w:ascii="方正书宋_GBK" w:hAnsi="方正书宋_GBK" w:eastAsia="方正书宋_GBK" w:cs="方正书宋_GBK"/>
                <w:color w:val="000000"/>
                <w:spacing w:val="0"/>
                <w:position w:val="0"/>
                <w:sz w:val="21"/>
                <w:shd w:val="clear" w:fill="auto"/>
              </w:rPr>
              <w:t>0</w:t>
            </w:r>
          </w:p>
        </w:tc>
      </w:tr>
    </w:tbl>
    <w:p w14:paraId="3E566E6D">
      <w:pPr>
        <w:spacing w:before="0" w:after="0" w:line="460" w:lineRule="auto"/>
        <w:ind w:left="0" w:right="0" w:firstLine="560"/>
        <w:jc w:val="both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五、存在的主要问题及改进情况</w:t>
      </w:r>
    </w:p>
    <w:p w14:paraId="4516CA6F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主要问题：</w:t>
      </w:r>
    </w:p>
    <w:p w14:paraId="2B8E0733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一是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公开尺度难以掌握。尽管我们明确了不予公开的政府信息，但具体到各部门各单位，如何根据信息不同性质制定不同的保密级别仍有大量的工作要做。有些信息是群众想知道的，但依据有关法律法规只能部分公开，对应予公开的信息定性不准，尺度难以掌握。</w:t>
      </w:r>
    </w:p>
    <w:p w14:paraId="573753D7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二是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少数栏目更新不够及时。由于办公室人手较少，有些栏目信息很难按要求及时快速地更新。</w:t>
      </w:r>
    </w:p>
    <w:p w14:paraId="72FDC8C6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改进情况：</w:t>
      </w:r>
    </w:p>
    <w:p w14:paraId="29800A75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一是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增强学习，提高认识及素质。逐步强化开展信息公开的工作能力，切实做好政府信息及政务公开工作。</w:t>
      </w:r>
    </w:p>
    <w:p w14:paraId="79FAC7C4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宋体" w:hAnsi="宋体" w:eastAsia="宋体" w:cs="宋体"/>
          <w:b/>
          <w:color w:val="000000"/>
          <w:spacing w:val="0"/>
          <w:position w:val="0"/>
          <w:sz w:val="28"/>
          <w:shd w:val="clear" w:fill="FFFFFF"/>
        </w:rPr>
        <w:t>二是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加大公开力度，做到及时快速更新。按照政府信息公开工作的要求，努力做到政府信息公开的内容及时快速更新。</w:t>
      </w:r>
    </w:p>
    <w:p w14:paraId="61291DF6">
      <w:pPr>
        <w:spacing w:before="0" w:after="0" w:line="460" w:lineRule="auto"/>
        <w:ind w:left="0" w:right="0" w:firstLine="560"/>
        <w:jc w:val="both"/>
        <w:rPr>
          <w:rFonts w:ascii="方正黑体_GBK" w:hAnsi="方正黑体_GBK" w:eastAsia="方正黑体_GBK" w:cs="方正黑体_GBK"/>
          <w:color w:val="000000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auto"/>
        </w:rPr>
        <w:t>六、其他需要报告的事项</w:t>
      </w:r>
    </w:p>
    <w:p w14:paraId="45CC2D2C">
      <w:pPr>
        <w:widowControl w:val="0"/>
        <w:spacing w:before="0" w:after="0" w:line="240" w:lineRule="auto"/>
        <w:ind w:left="0" w:right="0" w:firstLine="560"/>
        <w:jc w:val="left"/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</w:pPr>
      <w:r>
        <w:rPr>
          <w:rFonts w:ascii="Times New Roman" w:hAnsi="Times New Roman" w:eastAsia="Times New Roman" w:cs="Times New Roman"/>
          <w:color w:val="000000"/>
          <w:spacing w:val="0"/>
          <w:position w:val="0"/>
          <w:sz w:val="28"/>
          <w:shd w:val="clear" w:fill="FFFFFF"/>
        </w:rPr>
        <w:t>2024</w:t>
      </w:r>
      <w:r>
        <w:rPr>
          <w:rFonts w:ascii="宋体" w:hAnsi="宋体" w:eastAsia="宋体" w:cs="宋体"/>
          <w:color w:val="000000"/>
          <w:spacing w:val="0"/>
          <w:position w:val="0"/>
          <w:sz w:val="28"/>
          <w:shd w:val="clear" w:fill="FFFFFF"/>
        </w:rPr>
        <w:t>年度，汤原县文体广电和旅游局没有发生有关政府信息公开收费情况。</w:t>
      </w:r>
    </w:p>
    <w:p w14:paraId="7F87F7F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F7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2071</Words>
  <Characters>2111</Characters>
  <TotalTime>1</TotalTime>
  <ScaleCrop>false</ScaleCrop>
  <LinksUpToDate>false</LinksUpToDate>
  <CharactersWithSpaces>2112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2025-01-25T05:28:11Z</dcterms:created>
  <dc:creator>Administrator</dc:creator>
  <cp:lastModifiedBy>L</cp:lastModifiedBy>
  <dcterms:modified xsi:type="dcterms:W3CDTF">2025-01-25T05:30:26Z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eyJoZGlkIjoiY2EyNzdkNjE0Mzc4MTgwYTAwZDM0MzVhZGNkMDY1N2YiLCJ1c2VySWQiOiIzMTA4MzExMjQifQ==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37AF164D8BEC42AFBA90A85CC263549E_12</vt:lpwstr>
  </property>
</Properties>
</file>