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bidi="ar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 w:bidi="ar"/>
        </w:rPr>
        <w:t>2024年度汤原县卫生健康局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bidi="ar"/>
        </w:rPr>
        <w:t>政府信息公开工作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bidi="ar"/>
        </w:rPr>
        <w:t>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汤原县卫生健康局严格按照《中华人民共和国政府信息公开条例》相关规定，依托县政府门户网站，认真做好局信息公开工作，扎实推进健康汤原建设。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主动公开。汤原县卫生健康局深入贯彻落实相关要求，积极做好政府信息公开工作。第一，主动公开并及时更新机关职能、机构设置、办公地址、办公时间、联系方式等政府信息。第二，做好相关政策法规公开。主动公开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法律法规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、规章、规范性文件。第三，推进相关信息公开。及时更新相关信息公示平台相关信息。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（二）依申请公开。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，县卫生健康局严格按照《中华人民共和国政府信息公开条例》有关要求，全年未收到依申请公开申请。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（三）政府信息管理。县卫生健康局严格履行政府信息公开制度化规范化管理、审查机制，规范公开内容完善发布流程并完善管理工作。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（四）政府信息公开平台建设。完善政府信息公开工作中的不足，及时发布法定主动公开的政府信息，202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 w:bidi="ar"/>
        </w:rPr>
        <w:t>4年政务公开工作取得了较好的效果，处理决定230个，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bidi="ar"/>
        </w:rPr>
        <w:t>行政处罚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bidi="ar"/>
        </w:rPr>
        <w:t>例。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bidi="ar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napToGrid w:val="0"/>
          <w:color w:val="000000"/>
          <w:sz w:val="34"/>
          <w:szCs w:val="3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（五）监督保障。第一，定期对各类信息公开情况进行审查，督促落实整改，全力做好信息动态更新和维护工作。第二，通过政务公开电话等方式，接受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社会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监督，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保证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公开渠道畅通。</w:t>
      </w:r>
    </w:p>
    <w:p>
      <w:pPr>
        <w:adjustRightInd w:val="0"/>
        <w:snapToGrid w:val="0"/>
        <w:spacing w:line="460" w:lineRule="exact"/>
        <w:ind w:firstLine="482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230</w:t>
            </w:r>
            <w:bookmarkStart w:id="0" w:name="_GoBack"/>
            <w:bookmarkEnd w:id="0"/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460" w:lineRule="exact"/>
        <w:ind w:firstLine="482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adjustRightInd w:val="0"/>
        <w:snapToGrid w:val="0"/>
        <w:spacing w:line="460" w:lineRule="exact"/>
        <w:ind w:firstLine="482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年，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汤原县卫生健康局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在政府信息公开工作做了一定的工作，但仍存在一些不足，一是公开载体还需进一步丰富。结合印发宣传资料、开通咨询电话等多种形式，落实政务信息公开工作。二是公开内容有待于充实、完善。我局将进一步充实政务公开内容，突出热点问题，把群众最关心、反应最强烈的事项作为公开的主要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年汤原县卫生健康局按照县委县政府的要求，及时主动公开了政府信息，没有需要报告的其他事项。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2FhNDk2NjI2MTU2ODIwZjZiZjg2M2IxOWI1NDUifQ=="/>
  </w:docVars>
  <w:rsids>
    <w:rsidRoot w:val="754B60B7"/>
    <w:rsid w:val="02A66252"/>
    <w:rsid w:val="136C324B"/>
    <w:rsid w:val="34A87B74"/>
    <w:rsid w:val="3A871B31"/>
    <w:rsid w:val="4F151D42"/>
    <w:rsid w:val="62AE5CA3"/>
    <w:rsid w:val="688B5A1A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de</cp:lastModifiedBy>
  <cp:lastPrinted>2024-01-05T06:26:00Z</cp:lastPrinted>
  <dcterms:modified xsi:type="dcterms:W3CDTF">2025-01-26T01:12:33Z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7F9C66703AA84FA6858F293D8BC90DAD_13</vt:lpwstr>
  </property>
</Properties>
</file>