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小标宋_GBK" w:hAnsi="Times New Roman" w:eastAsia="方正小标宋_GBK"/>
          <w:snapToGrid w:val="0"/>
          <w:color w:val="000000"/>
          <w:sz w:val="36"/>
          <w:szCs w:val="44"/>
        </w:rPr>
      </w:pPr>
      <w:r>
        <w:rPr>
          <w:rFonts w:hint="eastAsia" w:ascii="方正小标宋_GBK" w:hAnsi="Times New Roman" w:eastAsia="方正小标宋_GBK"/>
          <w:snapToGrid w:val="0"/>
          <w:color w:val="000000"/>
          <w:sz w:val="36"/>
          <w:szCs w:val="44"/>
          <w:lang w:val="en-US" w:eastAsia="zh-CN"/>
        </w:rPr>
        <w:t>汤原县司法局2023年</w:t>
      </w:r>
      <w:r>
        <w:rPr>
          <w:rFonts w:hint="eastAsia" w:ascii="方正小标宋_GBK" w:hAnsi="Times New Roman" w:eastAsia="方正小标宋_GBK"/>
          <w:snapToGrid w:val="0"/>
          <w:color w:val="000000"/>
          <w:sz w:val="36"/>
          <w:szCs w:val="44"/>
        </w:rPr>
        <w:t>政府信息公开工作年度报告</w:t>
      </w:r>
    </w:p>
    <w:p>
      <w:pPr>
        <w:adjustRightInd w:val="0"/>
        <w:snapToGrid w:val="0"/>
        <w:spacing w:line="460" w:lineRule="exact"/>
        <w:jc w:val="center"/>
        <w:rPr>
          <w:rFonts w:hint="eastAsia" w:ascii="方正小标宋_GBK" w:hAnsi="Times New Roman" w:eastAsia="方正小标宋_GBK"/>
          <w:snapToGrid w:val="0"/>
          <w:color w:val="000000"/>
          <w:sz w:val="36"/>
          <w:szCs w:val="44"/>
        </w:rPr>
      </w:pP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方正黑体_GBK" w:hAnsi="Times New Roman" w:eastAsia="方正黑体_GBK"/>
          <w:snapToGrid w:val="0"/>
          <w:color w:val="000000"/>
          <w:sz w:val="28"/>
          <w:szCs w:val="32"/>
        </w:rPr>
      </w:pPr>
      <w:r>
        <w:rPr>
          <w:rFonts w:hint="eastAsia" w:ascii="方正黑体_GBK" w:hAnsi="Times New Roman" w:eastAsia="方正黑体_GBK"/>
          <w:snapToGrid w:val="0"/>
          <w:color w:val="000000"/>
          <w:sz w:val="28"/>
          <w:szCs w:val="32"/>
        </w:rPr>
        <w:t>一、总体情况</w:t>
      </w: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</w:rPr>
      </w:pPr>
      <w:r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</w:rPr>
        <w:t>202</w:t>
      </w:r>
      <w:r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</w:rPr>
        <w:t>年，汤原县司法局在县委、县政府正确领导和精心指导下，认真贯彻执行《中华人民共和国政府信息公开条例》（以下简称《条例》），紧紧围绕全县中心工作和202</w:t>
      </w:r>
      <w:r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</w:rPr>
        <w:t>年汤原县政务公开政务服务工作要点，以构建人民群众满意型政府为目标，积极稳妥地推进政府信息公开工作。政府信息公开工作在服务经济社会发展、转变政府职能、促进行政权力公开透明运行，保障公民的知情权、表达权、</w:t>
      </w:r>
      <w:r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  <w:lang w:val="en-US" w:eastAsia="zh-CN"/>
        </w:rPr>
        <w:tab/>
      </w:r>
      <w:r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</w:rPr>
        <w:t>参与权和监督权等方面发挥了积极作用。</w:t>
      </w: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</w:rPr>
      </w:pPr>
      <w:r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</w:rPr>
        <w:t>（一）主动公开情况。通过政府门户网站及时公开本部门法律法规、年终总结及工作动态，及时接受公众的监督。202</w:t>
      </w:r>
      <w:r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</w:rPr>
        <w:t>年，我局</w:t>
      </w:r>
      <w:r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  <w:lang w:val="en-US" w:eastAsia="zh-CN"/>
        </w:rPr>
        <w:t>共</w:t>
      </w:r>
      <w:r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</w:rPr>
        <w:t>公开部门动态</w:t>
      </w:r>
      <w:r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  <w:lang w:val="en-US" w:eastAsia="zh-CN"/>
        </w:rPr>
        <w:t>9个</w:t>
      </w:r>
      <w:r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</w:rPr>
        <w:t>。</w:t>
      </w: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</w:rPr>
      </w:pPr>
      <w:r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</w:rPr>
        <w:t>（二）依申请公开情况。严格按照《中华人民共和国在政府信息公开条例》相关要求开展各项政务公开工作。202</w:t>
      </w:r>
      <w:r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</w:rPr>
        <w:t>年，我局无依申请公开信息。</w:t>
      </w: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</w:rPr>
      </w:pPr>
      <w:r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</w:rPr>
        <w:t>（三）政府信息管理情况。严格落实信息发布“三审制度”和保密审查制度，落实责任到具体工作人员、监管人员和分管领导，每次公开信息逐级审批，保证发布信息准确性。</w:t>
      </w: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</w:rPr>
      </w:pPr>
      <w:r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</w:rPr>
        <w:t>（四）政府信息公开平台建设方面。选取一名相对固定人员担任政府门户网站平台建设人员，同时对政务信息公开网站进行日常维护管理，确保政府公开信息咨询、申请以及答复工作均顺利进行。</w:t>
      </w: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</w:rPr>
      </w:pPr>
      <w:r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</w:rPr>
        <w:t>（五）监督保障方面。制定信息公开工作方案，建立组织机构，明确分管领导和责任股室，逐级压实工作责任，每次监督后及时将结果公示，提升信息公开工作质量。同时在政府门户网站公开监督渠道，自觉接受社会监督。</w:t>
      </w: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方正黑体_GBK" w:hAnsi="Times New Roman" w:eastAsia="方正黑体_GBK"/>
          <w:snapToGrid w:val="0"/>
          <w:color w:val="000000"/>
          <w:sz w:val="28"/>
          <w:szCs w:val="32"/>
        </w:rPr>
      </w:pP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方正黑体_GBK" w:hAnsi="Times New Roman" w:eastAsia="方正黑体_GBK"/>
          <w:snapToGrid w:val="0"/>
          <w:color w:val="000000"/>
          <w:sz w:val="28"/>
          <w:szCs w:val="32"/>
        </w:rPr>
      </w:pP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方正黑体_GBK" w:hAnsi="Times New Roman" w:eastAsia="方正黑体_GBK"/>
          <w:snapToGrid w:val="0"/>
          <w:color w:val="000000"/>
          <w:sz w:val="28"/>
          <w:szCs w:val="32"/>
        </w:rPr>
      </w:pP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方正黑体_GBK" w:hAnsi="Times New Roman" w:eastAsia="方正黑体_GBK"/>
          <w:snapToGrid w:val="0"/>
          <w:color w:val="000000"/>
          <w:sz w:val="28"/>
          <w:szCs w:val="32"/>
        </w:rPr>
      </w:pP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方正黑体_GBK" w:hAnsi="Times New Roman" w:eastAsia="方正黑体_GBK"/>
          <w:snapToGrid w:val="0"/>
          <w:color w:val="000000"/>
          <w:sz w:val="28"/>
          <w:szCs w:val="32"/>
        </w:rPr>
      </w:pPr>
      <w:r>
        <w:rPr>
          <w:rFonts w:hint="eastAsia" w:ascii="方正黑体_GBK" w:hAnsi="Times New Roman" w:eastAsia="方正黑体_GBK"/>
          <w:snapToGrid w:val="0"/>
          <w:color w:val="000000"/>
          <w:sz w:val="28"/>
          <w:szCs w:val="32"/>
        </w:rPr>
        <w:t>二、主动公开政府信息情况</w:t>
      </w:r>
    </w:p>
    <w:tbl>
      <w:tblPr>
        <w:tblStyle w:val="3"/>
        <w:tblW w:w="9072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268"/>
        <w:gridCol w:w="2268"/>
        <w:gridCol w:w="2268"/>
        <w:gridCol w:w="2268"/>
      </w:tblGrid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4C6E7" w:themeFill="accent5" w:themeFillTint="66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Times New Roman" w:eastAsia="方正黑体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42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方正书宋_GBK" w:hAnsi="Times New Roman" w:eastAsia="方正书宋_GBK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书宋_GBK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书宋_GBK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4C6E7" w:themeFill="accent5" w:themeFillTint="66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Times New Roman" w:eastAsia="方正黑体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书宋_GBK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4C6E7" w:themeFill="accent5" w:themeFillTint="66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Times New Roman" w:eastAsia="方正黑体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4C6E7" w:themeFill="accent5" w:themeFillTint="66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Times New Roman" w:eastAsia="方正黑体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方正书宋_GBK" w:hAnsi="Times New Roman" w:eastAsia="方正书宋_GBK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书宋_GBK" w:hAnsi="Times New Roman" w:eastAsia="方正书宋_GBK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adjustRightInd w:val="0"/>
        <w:snapToGrid w:val="0"/>
        <w:spacing w:line="460" w:lineRule="exact"/>
        <w:ind w:firstLine="560" w:firstLineChars="200"/>
        <w:rPr>
          <w:rFonts w:hint="eastAsia" w:ascii="方正黑体_GBK" w:hAnsi="Times New Roman" w:eastAsia="方正黑体_GBK"/>
          <w:snapToGrid w:val="0"/>
          <w:color w:val="000000"/>
          <w:sz w:val="28"/>
          <w:szCs w:val="32"/>
        </w:rPr>
      </w:pP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方正黑体_GBK" w:hAnsi="Times New Roman" w:eastAsia="方正黑体_GBK"/>
          <w:snapToGrid w:val="0"/>
          <w:color w:val="000000"/>
          <w:sz w:val="28"/>
          <w:szCs w:val="32"/>
        </w:rPr>
      </w:pP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方正黑体_GBK" w:hAnsi="Times New Roman" w:eastAsia="方正黑体_GBK"/>
          <w:snapToGrid w:val="0"/>
          <w:color w:val="000000"/>
          <w:sz w:val="28"/>
          <w:szCs w:val="32"/>
        </w:rPr>
      </w:pP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方正黑体_GBK" w:hAnsi="Times New Roman" w:eastAsia="方正黑体_GBK"/>
          <w:snapToGrid w:val="0"/>
          <w:color w:val="000000"/>
          <w:sz w:val="28"/>
          <w:szCs w:val="32"/>
        </w:rPr>
      </w:pP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方正黑体_GBK" w:hAnsi="Times New Roman" w:eastAsia="方正黑体_GBK"/>
          <w:snapToGrid w:val="0"/>
          <w:color w:val="000000"/>
          <w:sz w:val="28"/>
          <w:szCs w:val="32"/>
        </w:rPr>
      </w:pP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方正黑体_GBK" w:hAnsi="Times New Roman" w:eastAsia="方正黑体_GBK"/>
          <w:snapToGrid w:val="0"/>
          <w:color w:val="000000"/>
          <w:sz w:val="28"/>
          <w:szCs w:val="32"/>
        </w:rPr>
      </w:pP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方正黑体_GBK" w:hAnsi="Times New Roman" w:eastAsia="方正黑体_GBK"/>
          <w:snapToGrid w:val="0"/>
          <w:color w:val="000000"/>
          <w:sz w:val="28"/>
          <w:szCs w:val="32"/>
        </w:rPr>
      </w:pP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方正黑体_GBK" w:hAnsi="Times New Roman" w:eastAsia="方正黑体_GBK"/>
          <w:snapToGrid w:val="0"/>
          <w:color w:val="000000"/>
          <w:sz w:val="28"/>
          <w:szCs w:val="32"/>
        </w:rPr>
      </w:pP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方正黑体_GBK" w:hAnsi="Times New Roman" w:eastAsia="方正黑体_GBK"/>
          <w:snapToGrid w:val="0"/>
          <w:color w:val="000000"/>
          <w:sz w:val="28"/>
          <w:szCs w:val="32"/>
        </w:rPr>
      </w:pP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方正黑体_GBK" w:hAnsi="Times New Roman" w:eastAsia="方正黑体_GBK"/>
          <w:snapToGrid w:val="0"/>
          <w:color w:val="000000"/>
          <w:sz w:val="28"/>
          <w:szCs w:val="32"/>
        </w:rPr>
      </w:pP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方正黑体_GBK" w:hAnsi="Times New Roman" w:eastAsia="方正黑体_GBK"/>
          <w:snapToGrid w:val="0"/>
          <w:color w:val="000000"/>
          <w:sz w:val="28"/>
          <w:szCs w:val="32"/>
        </w:rPr>
      </w:pP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方正黑体_GBK" w:hAnsi="Times New Roman" w:eastAsia="方正黑体_GBK"/>
          <w:snapToGrid w:val="0"/>
          <w:color w:val="000000"/>
          <w:sz w:val="28"/>
          <w:szCs w:val="32"/>
        </w:rPr>
      </w:pP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方正黑体_GBK" w:hAnsi="Times New Roman" w:eastAsia="方正黑体_GBK"/>
          <w:snapToGrid w:val="0"/>
          <w:color w:val="000000"/>
          <w:sz w:val="28"/>
          <w:szCs w:val="32"/>
        </w:rPr>
      </w:pP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方正黑体_GBK" w:hAnsi="Times New Roman" w:eastAsia="方正黑体_GBK"/>
          <w:snapToGrid w:val="0"/>
          <w:color w:val="000000"/>
          <w:sz w:val="28"/>
          <w:szCs w:val="32"/>
        </w:rPr>
      </w:pP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方正黑体_GBK" w:hAnsi="Times New Roman" w:eastAsia="方正黑体_GBK"/>
          <w:snapToGrid w:val="0"/>
          <w:color w:val="000000"/>
          <w:sz w:val="28"/>
          <w:szCs w:val="32"/>
        </w:rPr>
      </w:pP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方正黑体_GBK" w:hAnsi="Times New Roman" w:eastAsia="方正黑体_GBK"/>
          <w:snapToGrid w:val="0"/>
          <w:color w:val="000000"/>
          <w:sz w:val="28"/>
          <w:szCs w:val="32"/>
        </w:rPr>
      </w:pPr>
    </w:p>
    <w:p>
      <w:pPr>
        <w:adjustRightInd w:val="0"/>
        <w:snapToGrid w:val="0"/>
        <w:spacing w:line="460" w:lineRule="exact"/>
        <w:ind w:firstLine="560" w:firstLineChars="200"/>
        <w:rPr>
          <w:rFonts w:ascii="方正黑体_GBK" w:hAnsi="Times New Roman" w:eastAsia="方正黑体_GBK"/>
          <w:snapToGrid w:val="0"/>
          <w:color w:val="000000"/>
          <w:sz w:val="28"/>
          <w:szCs w:val="32"/>
        </w:rPr>
      </w:pPr>
      <w:r>
        <w:rPr>
          <w:rFonts w:hint="eastAsia" w:ascii="方正黑体_GBK" w:hAnsi="Times New Roman" w:eastAsia="方正黑体_GBK"/>
          <w:snapToGrid w:val="0"/>
          <w:color w:val="000000"/>
          <w:sz w:val="28"/>
          <w:szCs w:val="32"/>
        </w:rPr>
        <w:t>三、收到和处理政府信息公开申请情况</w:t>
      </w:r>
    </w:p>
    <w:tbl>
      <w:tblPr>
        <w:tblStyle w:val="3"/>
        <w:tblW w:w="9179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79"/>
        <w:gridCol w:w="1119"/>
        <w:gridCol w:w="2777"/>
        <w:gridCol w:w="864"/>
        <w:gridCol w:w="650"/>
        <w:gridCol w:w="722"/>
        <w:gridCol w:w="665"/>
        <w:gridCol w:w="623"/>
        <w:gridCol w:w="427"/>
        <w:gridCol w:w="453"/>
      </w:tblGrid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61" w:hRule="atLeast"/>
          <w:tblHeader/>
          <w:jc w:val="center"/>
        </w:trPr>
        <w:tc>
          <w:tcPr>
            <w:tcW w:w="4775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left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4404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申请人情况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atLeast"/>
          <w:tblHeader/>
          <w:jc w:val="center"/>
        </w:trPr>
        <w:tc>
          <w:tcPr>
            <w:tcW w:w="4775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自然人</w:t>
            </w:r>
          </w:p>
        </w:tc>
        <w:tc>
          <w:tcPr>
            <w:tcW w:w="3087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法人或其他组织</w:t>
            </w:r>
          </w:p>
        </w:tc>
        <w:tc>
          <w:tcPr>
            <w:tcW w:w="453" w:type="dxa"/>
            <w:vMerge w:val="restart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总计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72" w:hRule="atLeast"/>
          <w:tblHeader/>
          <w:jc w:val="center"/>
        </w:trPr>
        <w:tc>
          <w:tcPr>
            <w:tcW w:w="4775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</w:p>
        </w:tc>
        <w:tc>
          <w:tcPr>
            <w:tcW w:w="65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商业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企业</w:t>
            </w:r>
          </w:p>
        </w:tc>
        <w:tc>
          <w:tcPr>
            <w:tcW w:w="722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科研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机构</w:t>
            </w:r>
          </w:p>
        </w:tc>
        <w:tc>
          <w:tcPr>
            <w:tcW w:w="665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社会公益组织</w:t>
            </w:r>
          </w:p>
        </w:tc>
        <w:tc>
          <w:tcPr>
            <w:tcW w:w="623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法律服务机构</w:t>
            </w:r>
          </w:p>
        </w:tc>
        <w:tc>
          <w:tcPr>
            <w:tcW w:w="427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453" w:type="dxa"/>
            <w:vMerge w:val="continue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477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一、本年新收政府信息公开申请数量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477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atLeast"/>
          <w:jc w:val="center"/>
        </w:trPr>
        <w:tc>
          <w:tcPr>
            <w:tcW w:w="8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三、本年度办理结果</w:t>
            </w:r>
          </w:p>
        </w:tc>
        <w:tc>
          <w:tcPr>
            <w:tcW w:w="3896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（一）予以公开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1" w:hRule="atLeast"/>
          <w:jc w:val="center"/>
        </w:trPr>
        <w:tc>
          <w:tcPr>
            <w:tcW w:w="8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3896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（二）部分公开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（区分处理的，只计这一情形，不计其他情形）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13" w:hRule="atLeast"/>
          <w:jc w:val="center"/>
        </w:trPr>
        <w:tc>
          <w:tcPr>
            <w:tcW w:w="879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三、本年度办理结果</w:t>
            </w:r>
          </w:p>
        </w:tc>
        <w:tc>
          <w:tcPr>
            <w:tcW w:w="111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（三）不予公开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1.属于国家秘密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88" w:hRule="atLeast"/>
          <w:jc w:val="center"/>
        </w:trPr>
        <w:tc>
          <w:tcPr>
            <w:tcW w:w="879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111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2.其他法律行政法规禁止公开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4" w:hRule="atLeast"/>
          <w:jc w:val="center"/>
        </w:trPr>
        <w:tc>
          <w:tcPr>
            <w:tcW w:w="879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111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3.危及“三安全一稳定”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4" w:hRule="atLeast"/>
          <w:jc w:val="center"/>
        </w:trPr>
        <w:tc>
          <w:tcPr>
            <w:tcW w:w="879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111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4.保护第三方合法权益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4" w:hRule="atLeast"/>
          <w:jc w:val="center"/>
        </w:trPr>
        <w:tc>
          <w:tcPr>
            <w:tcW w:w="879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111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5.属于三类内部事务信息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4" w:hRule="atLeast"/>
          <w:jc w:val="center"/>
        </w:trPr>
        <w:tc>
          <w:tcPr>
            <w:tcW w:w="879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111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6.属于四类过程性信息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4" w:hRule="atLeast"/>
          <w:jc w:val="center"/>
        </w:trPr>
        <w:tc>
          <w:tcPr>
            <w:tcW w:w="879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111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7.属于行政执法案卷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4" w:hRule="atLeast"/>
          <w:jc w:val="center"/>
        </w:trPr>
        <w:tc>
          <w:tcPr>
            <w:tcW w:w="879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111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8.属于行政查询事项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88" w:hRule="atLeast"/>
          <w:jc w:val="center"/>
        </w:trPr>
        <w:tc>
          <w:tcPr>
            <w:tcW w:w="879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111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（四）无法提供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1.本机关不掌握相关政府信息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88" w:hRule="atLeast"/>
          <w:jc w:val="center"/>
        </w:trPr>
        <w:tc>
          <w:tcPr>
            <w:tcW w:w="879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111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2.没有现成信息需要另行制作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4" w:hRule="atLeast"/>
          <w:jc w:val="center"/>
        </w:trPr>
        <w:tc>
          <w:tcPr>
            <w:tcW w:w="879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111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3.补正后申请内容仍不明确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4" w:hRule="atLeast"/>
          <w:jc w:val="center"/>
        </w:trPr>
        <w:tc>
          <w:tcPr>
            <w:tcW w:w="879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111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（五）不予处理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1.信访举报投诉类申请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4" w:hRule="atLeast"/>
          <w:jc w:val="center"/>
        </w:trPr>
        <w:tc>
          <w:tcPr>
            <w:tcW w:w="879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111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2.重复申请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4" w:hRule="atLeast"/>
          <w:jc w:val="center"/>
        </w:trPr>
        <w:tc>
          <w:tcPr>
            <w:tcW w:w="879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111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3.要求提供公开出版物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4" w:hRule="atLeast"/>
          <w:jc w:val="center"/>
        </w:trPr>
        <w:tc>
          <w:tcPr>
            <w:tcW w:w="879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111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4.无正当理由大量反复申请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88" w:hRule="atLeast"/>
          <w:jc w:val="center"/>
        </w:trPr>
        <w:tc>
          <w:tcPr>
            <w:tcW w:w="879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111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2777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5.要求行政机关确认或重新出具已获取信息</w:t>
            </w:r>
          </w:p>
        </w:tc>
        <w:tc>
          <w:tcPr>
            <w:tcW w:w="86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2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3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27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72" w:hRule="atLeast"/>
          <w:jc w:val="center"/>
        </w:trPr>
        <w:tc>
          <w:tcPr>
            <w:tcW w:w="879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1119" w:type="dxa"/>
            <w:vMerge w:val="restart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（六）其他处理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72" w:hRule="atLeast"/>
          <w:jc w:val="center"/>
        </w:trPr>
        <w:tc>
          <w:tcPr>
            <w:tcW w:w="879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1119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13" w:hRule="atLeast"/>
          <w:jc w:val="center"/>
        </w:trPr>
        <w:tc>
          <w:tcPr>
            <w:tcW w:w="879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1119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3.其他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0" w:hRule="atLeast"/>
          <w:jc w:val="center"/>
        </w:trPr>
        <w:tc>
          <w:tcPr>
            <w:tcW w:w="879" w:type="dxa"/>
            <w:vMerge w:val="continue"/>
            <w:tcBorders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</w:p>
        </w:tc>
        <w:tc>
          <w:tcPr>
            <w:tcW w:w="389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（七）总计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13" w:hRule="atLeast"/>
          <w:jc w:val="center"/>
        </w:trPr>
        <w:tc>
          <w:tcPr>
            <w:tcW w:w="477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  <w:t>四、结转下年度继续办理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adjustRightInd w:val="0"/>
        <w:snapToGrid w:val="0"/>
        <w:spacing w:line="460" w:lineRule="exact"/>
        <w:ind w:firstLine="560" w:firstLineChars="200"/>
        <w:rPr>
          <w:rFonts w:hint="eastAsia" w:ascii="方正黑体_GBK" w:hAnsi="Times New Roman" w:eastAsia="方正黑体_GBK"/>
          <w:snapToGrid w:val="0"/>
          <w:color w:val="000000"/>
          <w:sz w:val="28"/>
          <w:szCs w:val="32"/>
        </w:rPr>
      </w:pPr>
      <w:r>
        <w:rPr>
          <w:rFonts w:hint="eastAsia" w:ascii="方正黑体_GBK" w:hAnsi="Times New Roman" w:eastAsia="方正黑体_GBK"/>
          <w:snapToGrid w:val="0"/>
          <w:color w:val="000000"/>
          <w:sz w:val="28"/>
          <w:szCs w:val="32"/>
        </w:rPr>
        <w:t>四、政府信息公开行政复议、行政诉讼情况</w:t>
      </w:r>
    </w:p>
    <w:tbl>
      <w:tblPr>
        <w:tblStyle w:val="3"/>
        <w:tblW w:w="9072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05"/>
        <w:gridCol w:w="605"/>
        <w:gridCol w:w="605"/>
        <w:gridCol w:w="605"/>
        <w:gridCol w:w="604"/>
        <w:gridCol w:w="604"/>
        <w:gridCol w:w="604"/>
        <w:gridCol w:w="605"/>
        <w:gridCol w:w="605"/>
        <w:gridCol w:w="605"/>
        <w:gridCol w:w="605"/>
        <w:gridCol w:w="605"/>
        <w:gridCol w:w="605"/>
        <w:gridCol w:w="605"/>
        <w:gridCol w:w="605"/>
      </w:tblGrid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302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行政复议</w:t>
            </w:r>
          </w:p>
        </w:tc>
        <w:tc>
          <w:tcPr>
            <w:tcW w:w="604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行政诉讼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60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结果维持</w:t>
            </w:r>
          </w:p>
        </w:tc>
        <w:tc>
          <w:tcPr>
            <w:tcW w:w="60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结果</w:t>
            </w: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纠正</w:t>
            </w:r>
          </w:p>
        </w:tc>
        <w:tc>
          <w:tcPr>
            <w:tcW w:w="60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其他</w:t>
            </w: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结果</w:t>
            </w:r>
          </w:p>
        </w:tc>
        <w:tc>
          <w:tcPr>
            <w:tcW w:w="60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尚未</w:t>
            </w: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审结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总计</w:t>
            </w:r>
          </w:p>
        </w:tc>
        <w:tc>
          <w:tcPr>
            <w:tcW w:w="302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未经复议直接起诉</w:t>
            </w:r>
          </w:p>
        </w:tc>
        <w:tc>
          <w:tcPr>
            <w:tcW w:w="302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复议后起诉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</w:p>
        </w:tc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结果</w:t>
            </w: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维持</w:t>
            </w:r>
          </w:p>
        </w:tc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结果</w:t>
            </w: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其他</w:t>
            </w: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尚未</w:t>
            </w: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结果</w:t>
            </w: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维持</w:t>
            </w:r>
          </w:p>
        </w:tc>
        <w:tc>
          <w:tcPr>
            <w:tcW w:w="6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结果</w:t>
            </w: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其他</w:t>
            </w: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尚未</w:t>
            </w: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总计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</w:rPr>
            </w:pPr>
            <w:r>
              <w:rPr>
                <w:rFonts w:hint="eastAsia" w:ascii="方正书宋_GBK" w:hAnsi="Times New Roman" w:eastAsia="方正书宋_GBK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adjustRightInd w:val="0"/>
        <w:snapToGrid w:val="0"/>
        <w:spacing w:line="460" w:lineRule="exact"/>
        <w:ind w:firstLine="560" w:firstLineChars="200"/>
        <w:rPr>
          <w:rFonts w:ascii="方正黑体_GBK" w:hAnsi="Times New Roman" w:eastAsia="方正黑体_GBK"/>
          <w:snapToGrid w:val="0"/>
          <w:color w:val="000000"/>
          <w:sz w:val="28"/>
          <w:szCs w:val="32"/>
        </w:rPr>
      </w:pPr>
      <w:r>
        <w:rPr>
          <w:rFonts w:hint="eastAsia" w:ascii="方正黑体_GBK" w:hAnsi="Times New Roman" w:eastAsia="方正黑体_GBK"/>
          <w:snapToGrid w:val="0"/>
          <w:color w:val="000000"/>
          <w:sz w:val="28"/>
          <w:szCs w:val="32"/>
        </w:rPr>
        <w:t>五、存在的主要问题及改进情况</w:t>
      </w: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</w:rPr>
      </w:pPr>
      <w:r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</w:rPr>
        <w:t>（一）主要问题</w:t>
      </w: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</w:rPr>
      </w:pPr>
      <w:r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</w:rPr>
        <w:t>信息公开工作在上级主管部门的正确领导下，做了大量工作，但标准还不够高，内容还不够全面，信息更新还需要更及时。</w:t>
      </w: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</w:rPr>
      </w:pPr>
      <w:r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</w:rPr>
        <w:t>（二）改进措施</w:t>
      </w: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</w:rPr>
      </w:pPr>
      <w:r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</w:rPr>
        <w:t>公开形式在今后的工作中需要进一步提高。</w:t>
      </w: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方正黑体_GBK" w:hAnsi="Times New Roman" w:eastAsia="方正黑体_GBK"/>
          <w:snapToGrid w:val="0"/>
          <w:color w:val="000000"/>
          <w:sz w:val="28"/>
          <w:szCs w:val="32"/>
        </w:rPr>
      </w:pPr>
      <w:r>
        <w:rPr>
          <w:rFonts w:hint="eastAsia" w:ascii="方正黑体_GBK" w:hAnsi="Times New Roman" w:eastAsia="方正黑体_GBK"/>
          <w:snapToGrid w:val="0"/>
          <w:color w:val="000000"/>
          <w:sz w:val="28"/>
          <w:szCs w:val="32"/>
        </w:rPr>
        <w:t>六、其他需要报告的事项</w:t>
      </w: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</w:rPr>
      </w:pPr>
      <w:r>
        <w:rPr>
          <w:rFonts w:hint="eastAsia" w:ascii="Times New Roman" w:hAnsi="Times New Roman" w:eastAsia="方正仿宋_GBK"/>
          <w:snapToGrid w:val="0"/>
          <w:color w:val="000000"/>
          <w:sz w:val="28"/>
          <w:szCs w:val="32"/>
        </w:rPr>
        <w:t>本年度，我局信息公开没有收取任何费用。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书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mNzg5OTJlOWQ3YTQ2ZDk4ZDcwZjNlMzk5NmIzZTQifQ=="/>
  </w:docVars>
  <w:rsids>
    <w:rsidRoot w:val="754B60B7"/>
    <w:rsid w:val="04815B38"/>
    <w:rsid w:val="10EC100A"/>
    <w:rsid w:val="239B6A72"/>
    <w:rsid w:val="34A87B74"/>
    <w:rsid w:val="4B68340A"/>
    <w:rsid w:val="56C35BD5"/>
    <w:rsid w:val="6BF662AB"/>
    <w:rsid w:val="754B60B7"/>
    <w:rsid w:val="FD2EB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semiHidden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2021-11-04T17:36:00Z</dcterms:created>
  <dc:creator>你怎么可以吃兔兔？</dc:creator>
  <cp:lastModifiedBy>明日东风寒</cp:lastModifiedBy>
  <cp:lastPrinted>2024-01-12T07:00:00Z</cp:lastPrinted>
  <dcterms:modified xsi:type="dcterms:W3CDTF">2024-01-18T03:09:28Z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2C86F04A9EA44DFFB81A6CDA4D76E0BF_13</vt:lpwstr>
  </property>
</Properties>
</file>