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460" w:lineRule="exact"/>
        <w:jc w:val="center"/>
        <w:rPr>
          <w:rFonts w:hint="eastAsia" w:ascii="方正小标宋_GBK" w:hAnsi="Times New Roman" w:eastAsia="方正小标宋_GBK"/>
          <w:snapToGrid w:val="0"/>
          <w:color w:val="000000"/>
          <w:sz w:val="36"/>
          <w:szCs w:val="44"/>
        </w:rPr>
      </w:pPr>
    </w:p>
    <w:p>
      <w:pPr>
        <w:adjustRightInd w:val="0"/>
        <w:snapToGrid w:val="0"/>
        <w:spacing w:line="460" w:lineRule="exact"/>
        <w:jc w:val="center"/>
        <w:rPr>
          <w:rFonts w:hint="eastAsia" w:ascii="方正小标宋_GBK" w:hAnsi="Times New Roman" w:eastAsia="方正小标宋_GBK"/>
          <w:snapToGrid w:val="0"/>
          <w:color w:val="000000"/>
          <w:sz w:val="36"/>
          <w:szCs w:val="44"/>
          <w:lang w:val="en-US" w:eastAsia="zh-CN"/>
        </w:rPr>
      </w:pPr>
      <w:r>
        <w:rPr>
          <w:rFonts w:hint="eastAsia" w:ascii="方正小标宋_GBK" w:hAnsi="Times New Roman" w:eastAsia="方正小标宋_GBK"/>
          <w:snapToGrid w:val="0"/>
          <w:color w:val="000000"/>
          <w:sz w:val="36"/>
          <w:szCs w:val="44"/>
          <w:lang w:val="en-US" w:eastAsia="zh-CN"/>
        </w:rPr>
        <w:t>汤原县太平川乡人民政府2023年度</w:t>
      </w:r>
      <w:bookmarkStart w:id="0" w:name="_GoBack"/>
      <w:bookmarkEnd w:id="0"/>
    </w:p>
    <w:p>
      <w:pPr>
        <w:adjustRightInd w:val="0"/>
        <w:snapToGrid w:val="0"/>
        <w:spacing w:line="460" w:lineRule="exact"/>
        <w:jc w:val="center"/>
        <w:rPr>
          <w:rFonts w:hint="eastAsia" w:ascii="方正小标宋_GBK" w:hAnsi="Times New Roman" w:eastAsia="方正小标宋_GBK"/>
          <w:snapToGrid w:val="0"/>
          <w:color w:val="000000"/>
          <w:sz w:val="36"/>
          <w:szCs w:val="44"/>
        </w:rPr>
      </w:pPr>
      <w:r>
        <w:rPr>
          <w:rFonts w:hint="eastAsia" w:ascii="方正小标宋_GBK" w:hAnsi="Times New Roman" w:eastAsia="方正小标宋_GBK"/>
          <w:snapToGrid w:val="0"/>
          <w:color w:val="000000"/>
          <w:sz w:val="36"/>
          <w:szCs w:val="44"/>
        </w:rPr>
        <w:t>政府信息公开工作年度报告</w:t>
      </w:r>
    </w:p>
    <w:p>
      <w:pPr>
        <w:adjustRightInd w:val="0"/>
        <w:snapToGrid w:val="0"/>
        <w:spacing w:line="460" w:lineRule="exact"/>
        <w:jc w:val="center"/>
        <w:rPr>
          <w:rFonts w:hint="eastAsia" w:ascii="方正小标宋_GBK" w:hAnsi="Times New Roman" w:eastAsia="方正小标宋_GBK"/>
          <w:snapToGrid w:val="0"/>
          <w:color w:val="000000"/>
          <w:sz w:val="36"/>
          <w:szCs w:val="44"/>
        </w:rPr>
      </w:pPr>
    </w:p>
    <w:p>
      <w:pPr>
        <w:adjustRightInd w:val="0"/>
        <w:snapToGrid w:val="0"/>
        <w:spacing w:line="460" w:lineRule="exact"/>
        <w:ind w:firstLine="560" w:firstLineChars="200"/>
        <w:rPr>
          <w:rFonts w:hint="eastAsia" w:ascii="方正黑体_GBK" w:hAnsi="Times New Roman" w:eastAsia="方正黑体_GBK"/>
          <w:snapToGrid w:val="0"/>
          <w:color w:val="000000"/>
          <w:sz w:val="28"/>
          <w:szCs w:val="32"/>
        </w:rPr>
      </w:pPr>
      <w:r>
        <w:rPr>
          <w:rFonts w:hint="eastAsia" w:ascii="方正黑体_GBK" w:hAnsi="Times New Roman" w:eastAsia="方正黑体_GBK"/>
          <w:snapToGrid w:val="0"/>
          <w:color w:val="000000"/>
          <w:sz w:val="28"/>
          <w:szCs w:val="32"/>
        </w:rPr>
        <w:t>一、总体情况</w:t>
      </w:r>
    </w:p>
    <w:p>
      <w:pPr>
        <w:adjustRightInd w:val="0"/>
        <w:snapToGrid w:val="0"/>
        <w:spacing w:line="460" w:lineRule="exact"/>
        <w:ind w:firstLine="560" w:firstLineChars="200"/>
        <w:rPr>
          <w:rFonts w:hint="eastAsia" w:ascii="Times New Roman" w:hAnsi="Times New Roman" w:eastAsia="方正仿宋_GBK" w:cs="Times New Roman"/>
          <w:snapToGrid w:val="0"/>
          <w:color w:val="000000"/>
          <w:sz w:val="28"/>
          <w:szCs w:val="32"/>
        </w:rPr>
      </w:pPr>
      <w:r>
        <w:rPr>
          <w:rFonts w:hint="eastAsia" w:ascii="Times New Roman" w:hAnsi="Times New Roman" w:eastAsia="方正仿宋_GBK" w:cs="Times New Roman"/>
          <w:snapToGrid w:val="0"/>
          <w:color w:val="000000"/>
          <w:sz w:val="28"/>
          <w:szCs w:val="32"/>
        </w:rPr>
        <w:t>202</w:t>
      </w:r>
      <w:r>
        <w:rPr>
          <w:rFonts w:hint="eastAsia" w:ascii="Times New Roman" w:hAnsi="Times New Roman" w:eastAsia="方正仿宋_GBK" w:cs="Times New Roman"/>
          <w:snapToGrid w:val="0"/>
          <w:color w:val="000000"/>
          <w:sz w:val="28"/>
          <w:szCs w:val="32"/>
          <w:lang w:val="en-US" w:eastAsia="zh-CN"/>
        </w:rPr>
        <w:t>3</w:t>
      </w:r>
      <w:r>
        <w:rPr>
          <w:rFonts w:hint="eastAsia" w:ascii="Times New Roman" w:hAnsi="Times New Roman" w:eastAsia="方正仿宋_GBK" w:cs="Times New Roman"/>
          <w:snapToGrid w:val="0"/>
          <w:color w:val="000000"/>
          <w:sz w:val="28"/>
          <w:szCs w:val="32"/>
        </w:rPr>
        <w:t>年</w:t>
      </w:r>
      <w:r>
        <w:rPr>
          <w:rFonts w:hint="eastAsia" w:ascii="Times New Roman" w:hAnsi="Times New Roman" w:eastAsia="方正仿宋_GBK" w:cs="Times New Roman"/>
          <w:snapToGrid w:val="0"/>
          <w:color w:val="000000"/>
          <w:sz w:val="28"/>
          <w:szCs w:val="32"/>
          <w:lang w:eastAsia="zh-CN"/>
        </w:rPr>
        <w:t>以来</w:t>
      </w:r>
      <w:r>
        <w:rPr>
          <w:rFonts w:hint="eastAsia" w:ascii="Times New Roman" w:hAnsi="Times New Roman" w:eastAsia="方正仿宋_GBK" w:cs="Times New Roman"/>
          <w:snapToGrid w:val="0"/>
          <w:color w:val="000000"/>
          <w:sz w:val="28"/>
          <w:szCs w:val="32"/>
        </w:rPr>
        <w:t>，</w:t>
      </w:r>
      <w:r>
        <w:rPr>
          <w:rFonts w:hint="eastAsia" w:ascii="Times New Roman" w:hAnsi="Times New Roman" w:eastAsia="方正仿宋_GBK" w:cs="Times New Roman"/>
          <w:snapToGrid w:val="0"/>
          <w:color w:val="000000"/>
          <w:sz w:val="28"/>
          <w:szCs w:val="32"/>
          <w:lang w:eastAsia="zh-CN"/>
        </w:rPr>
        <w:t>太平川乡在县政府的正确领导下，结合工作实际，</w:t>
      </w:r>
      <w:r>
        <w:rPr>
          <w:rFonts w:hint="eastAsia" w:ascii="Times New Roman" w:hAnsi="Times New Roman" w:eastAsia="方正仿宋_GBK" w:cs="Times New Roman"/>
          <w:snapToGrid w:val="0"/>
          <w:color w:val="000000"/>
          <w:sz w:val="28"/>
          <w:szCs w:val="32"/>
          <w:lang w:val="en-US" w:eastAsia="zh-CN"/>
        </w:rPr>
        <w:t>全面贯彻落实上级政务公开有关文件精神，</w:t>
      </w:r>
      <w:r>
        <w:rPr>
          <w:rFonts w:hint="eastAsia" w:ascii="Times New Roman" w:hAnsi="Times New Roman" w:eastAsia="方正仿宋_GBK" w:cs="Times New Roman"/>
          <w:snapToGrid w:val="0"/>
          <w:color w:val="000000"/>
          <w:sz w:val="28"/>
          <w:szCs w:val="32"/>
          <w:lang w:eastAsia="zh-CN"/>
        </w:rPr>
        <w:t>紧紧围绕增加工作的透明度，规范政务公开内容，提高政务公开水平，</w:t>
      </w:r>
      <w:r>
        <w:rPr>
          <w:rFonts w:hint="eastAsia" w:ascii="Times New Roman" w:hAnsi="Times New Roman" w:eastAsia="方正仿宋_GBK" w:cs="Times New Roman"/>
          <w:snapToGrid w:val="0"/>
          <w:color w:val="000000"/>
          <w:sz w:val="28"/>
          <w:szCs w:val="32"/>
          <w:lang w:val="en-US" w:eastAsia="zh-CN"/>
        </w:rPr>
        <w:t>取得了明显成效。</w:t>
      </w:r>
      <w:r>
        <w:rPr>
          <w:rFonts w:hint="eastAsia" w:ascii="Times New Roman" w:hAnsi="Times New Roman" w:eastAsia="方正仿宋_GBK" w:cs="Times New Roman"/>
          <w:snapToGrid w:val="0"/>
          <w:color w:val="000000"/>
          <w:sz w:val="28"/>
          <w:szCs w:val="32"/>
        </w:rPr>
        <w:t>现将工作总结如下:</w:t>
      </w:r>
    </w:p>
    <w:p>
      <w:pPr>
        <w:adjustRightInd w:val="0"/>
        <w:snapToGrid w:val="0"/>
        <w:spacing w:line="460" w:lineRule="exact"/>
        <w:ind w:firstLine="560" w:firstLineChars="200"/>
        <w:rPr>
          <w:rFonts w:hint="eastAsia" w:ascii="Times New Roman" w:hAnsi="Times New Roman" w:eastAsia="方正仿宋_GBK" w:cs="Times New Roman"/>
          <w:snapToGrid w:val="0"/>
          <w:color w:val="000000"/>
          <w:sz w:val="28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napToGrid w:val="0"/>
          <w:color w:val="000000"/>
          <w:sz w:val="28"/>
          <w:szCs w:val="32"/>
          <w:lang w:val="en-US" w:eastAsia="zh-CN"/>
        </w:rPr>
        <w:t>（一）主动公开情况。太平川乡坚持以“公开为常态，不公开为例外”的原则，严格按照《中华人民共和国政府信息公开条例》进行政务公开，从严把握公开范围，规范提升依申请公开工作质量和效果。全年共制作公开信息2条，对外主动公开信息2条，其中，其他政府信息1条、政府信息公开年报1条。</w:t>
      </w:r>
    </w:p>
    <w:p>
      <w:pPr>
        <w:adjustRightInd w:val="0"/>
        <w:snapToGrid w:val="0"/>
        <w:spacing w:line="460" w:lineRule="exact"/>
        <w:ind w:firstLine="560" w:firstLineChars="200"/>
        <w:rPr>
          <w:rFonts w:hint="eastAsia" w:ascii="Times New Roman" w:hAnsi="Times New Roman" w:eastAsia="方正仿宋_GBK" w:cs="Times New Roman"/>
          <w:snapToGrid w:val="0"/>
          <w:color w:val="000000"/>
          <w:sz w:val="28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napToGrid w:val="0"/>
          <w:color w:val="000000"/>
          <w:sz w:val="28"/>
          <w:szCs w:val="32"/>
          <w:lang w:val="en-US" w:eastAsia="zh-CN"/>
        </w:rPr>
        <w:t>（二）依申请公开情况。2023年度太平川乡未收到依申请公开。</w:t>
      </w:r>
    </w:p>
    <w:p>
      <w:pPr>
        <w:adjustRightInd w:val="0"/>
        <w:snapToGrid w:val="0"/>
        <w:spacing w:line="460" w:lineRule="exact"/>
        <w:ind w:firstLine="560" w:firstLineChars="200"/>
        <w:rPr>
          <w:rFonts w:hint="eastAsia" w:ascii="Times New Roman" w:hAnsi="Times New Roman" w:eastAsia="方正仿宋_GBK" w:cs="Times New Roman"/>
          <w:snapToGrid w:val="0"/>
          <w:color w:val="000000"/>
          <w:sz w:val="28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napToGrid w:val="0"/>
          <w:color w:val="000000"/>
          <w:sz w:val="28"/>
          <w:szCs w:val="32"/>
          <w:lang w:val="en-US" w:eastAsia="zh-CN"/>
        </w:rPr>
        <w:t>（三）政府信息管理情况。太平川乡认真贯彻落实政务公开工作，严格落实汤原县政府门户网站信息发布制度，把好内容关、保密关。由专人负责政府信息管理，明确公开内容，公开方式等，确保政务公开制度化、标准化、信息化，提高信息公开的准确性、时效性，保障政府工作信息及时向公众传递。</w:t>
      </w:r>
    </w:p>
    <w:p>
      <w:pPr>
        <w:adjustRightInd w:val="0"/>
        <w:snapToGrid w:val="0"/>
        <w:spacing w:line="460" w:lineRule="exact"/>
        <w:ind w:firstLine="560" w:firstLineChars="200"/>
        <w:rPr>
          <w:rFonts w:hint="eastAsia" w:ascii="Times New Roman" w:hAnsi="Times New Roman" w:eastAsia="方正仿宋_GBK" w:cs="Times New Roman"/>
          <w:snapToGrid w:val="0"/>
          <w:color w:val="000000"/>
          <w:sz w:val="28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napToGrid w:val="0"/>
          <w:color w:val="000000"/>
          <w:sz w:val="28"/>
          <w:szCs w:val="32"/>
          <w:lang w:val="en-US" w:eastAsia="zh-CN"/>
        </w:rPr>
        <w:t>（四）政府信息公开平台建设。太平川乡拓宽政务公开渠道，扩大信息覆盖面，丰富了政务新媒体主体，本年度全乡在“红色太平川”微信公众号上共发布了579条政务信息，涉及政策解读、便民服务等多方面内容，进一步加大宣传力度，确保政府信息公开工作有序开展。</w:t>
      </w:r>
    </w:p>
    <w:p>
      <w:pPr>
        <w:adjustRightInd w:val="0"/>
        <w:snapToGrid w:val="0"/>
        <w:spacing w:line="460" w:lineRule="exact"/>
        <w:ind w:firstLine="560" w:firstLineChars="200"/>
        <w:rPr>
          <w:rFonts w:hint="eastAsia" w:ascii="Times New Roman" w:hAnsi="Times New Roman" w:eastAsia="方正仿宋_GBK" w:cs="Times New Roman"/>
          <w:snapToGrid w:val="0"/>
          <w:color w:val="000000"/>
          <w:sz w:val="28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napToGrid w:val="0"/>
          <w:color w:val="000000"/>
          <w:sz w:val="28"/>
          <w:szCs w:val="32"/>
          <w:lang w:val="en-US" w:eastAsia="zh-CN"/>
        </w:rPr>
        <w:t>（五）监督保障方面。太平川乡根据工作实际，不断加强政务公开工作全面安排部署，制定业务培训计划，推动政务公开工作水平整体提升。组织开展信息公开工作学习宣传和督查检查，对主动公开的信息，重点对公开的格式、内容、时效等进行梳理，听取群众需求和意见建议，接受群众监督。</w:t>
      </w:r>
    </w:p>
    <w:p>
      <w:pPr>
        <w:adjustRightInd w:val="0"/>
        <w:snapToGrid w:val="0"/>
        <w:spacing w:line="460" w:lineRule="exact"/>
        <w:ind w:firstLine="560" w:firstLineChars="200"/>
        <w:rPr>
          <w:rFonts w:hint="eastAsia"/>
        </w:rPr>
      </w:pPr>
      <w:r>
        <w:rPr>
          <w:rFonts w:hint="eastAsia" w:ascii="方正黑体_GBK" w:hAnsi="Times New Roman" w:eastAsia="方正黑体_GBK"/>
          <w:snapToGrid w:val="0"/>
          <w:color w:val="000000"/>
          <w:sz w:val="28"/>
          <w:szCs w:val="32"/>
        </w:rPr>
        <w:t>二、主动公开政府信息情况</w:t>
      </w:r>
    </w:p>
    <w:tbl>
      <w:tblPr>
        <w:tblStyle w:val="3"/>
        <w:tblW w:w="9072" w:type="dxa"/>
        <w:jc w:val="center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2268"/>
        <w:gridCol w:w="2268"/>
        <w:gridCol w:w="2268"/>
        <w:gridCol w:w="2268"/>
      </w:tblGrid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4C6E7" w:themeFill="accent5" w:themeFillTint="66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5B9BD5" w:themeColor="accent1"/>
                <w:kern w:val="0"/>
                <w:szCs w:val="21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第二十条第（一）项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本年制发件数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现行有效件数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lef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lef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lef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lef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lef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lef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4C6E7" w:themeFill="accent5" w:themeFillTint="66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第二十条第（五）项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本年处理决定数量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4C6E7" w:themeFill="accent5" w:themeFillTint="66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第二十条第（六）项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本年处理决定数量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4C6E7" w:themeFill="accent5" w:themeFillTint="66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第二十条第（八）项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本年收费金额（单位：万元）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</w:tbl>
    <w:p>
      <w:pPr>
        <w:adjustRightInd w:val="0"/>
        <w:snapToGrid w:val="0"/>
        <w:spacing w:line="460" w:lineRule="exact"/>
        <w:ind w:firstLine="560" w:firstLineChars="200"/>
        <w:rPr>
          <w:rFonts w:ascii="方正黑体_GBK" w:hAnsi="Times New Roman" w:eastAsia="方正黑体_GBK"/>
          <w:snapToGrid w:val="0"/>
          <w:color w:val="000000"/>
          <w:sz w:val="28"/>
          <w:szCs w:val="32"/>
        </w:rPr>
      </w:pPr>
      <w:r>
        <w:rPr>
          <w:rFonts w:hint="eastAsia" w:ascii="方正黑体_GBK" w:hAnsi="Times New Roman" w:eastAsia="方正黑体_GBK"/>
          <w:snapToGrid w:val="0"/>
          <w:color w:val="000000"/>
          <w:sz w:val="28"/>
          <w:szCs w:val="32"/>
        </w:rPr>
        <w:t>三、收到和处理政府信息公开申请情况</w:t>
      </w:r>
    </w:p>
    <w:tbl>
      <w:tblPr>
        <w:tblStyle w:val="3"/>
        <w:tblW w:w="9072" w:type="dxa"/>
        <w:jc w:val="center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869"/>
        <w:gridCol w:w="1106"/>
        <w:gridCol w:w="2744"/>
        <w:gridCol w:w="854"/>
        <w:gridCol w:w="643"/>
        <w:gridCol w:w="714"/>
        <w:gridCol w:w="658"/>
        <w:gridCol w:w="616"/>
        <w:gridCol w:w="420"/>
        <w:gridCol w:w="448"/>
      </w:tblGrid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tblHeader/>
          <w:jc w:val="center"/>
        </w:trPr>
        <w:tc>
          <w:tcPr>
            <w:tcW w:w="4719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left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（本列数据的勾稽关系为：第一项加第二项之和，等于第三项加第四项之和）</w:t>
            </w:r>
          </w:p>
        </w:tc>
        <w:tc>
          <w:tcPr>
            <w:tcW w:w="4353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申请人情况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tblHeader/>
          <w:jc w:val="center"/>
        </w:trPr>
        <w:tc>
          <w:tcPr>
            <w:tcW w:w="4719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</w:p>
        </w:tc>
        <w:tc>
          <w:tcPr>
            <w:tcW w:w="854" w:type="dxa"/>
            <w:vMerge w:val="restart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自然人</w:t>
            </w:r>
          </w:p>
        </w:tc>
        <w:tc>
          <w:tcPr>
            <w:tcW w:w="3051" w:type="dxa"/>
            <w:gridSpan w:val="5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法人或其他组织</w:t>
            </w:r>
          </w:p>
        </w:tc>
        <w:tc>
          <w:tcPr>
            <w:tcW w:w="448" w:type="dxa"/>
            <w:vMerge w:val="restart"/>
            <w:tcBorders>
              <w:top w:val="single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总计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tblHeader/>
          <w:jc w:val="center"/>
        </w:trPr>
        <w:tc>
          <w:tcPr>
            <w:tcW w:w="4719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</w:p>
        </w:tc>
        <w:tc>
          <w:tcPr>
            <w:tcW w:w="854" w:type="dxa"/>
            <w:vMerge w:val="continue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</w:p>
        </w:tc>
        <w:tc>
          <w:tcPr>
            <w:tcW w:w="643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商业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企业</w:t>
            </w:r>
          </w:p>
        </w:tc>
        <w:tc>
          <w:tcPr>
            <w:tcW w:w="714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科研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机构</w:t>
            </w:r>
          </w:p>
        </w:tc>
        <w:tc>
          <w:tcPr>
            <w:tcW w:w="658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社会公益组织</w:t>
            </w:r>
          </w:p>
        </w:tc>
        <w:tc>
          <w:tcPr>
            <w:tcW w:w="616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法律服务机构</w:t>
            </w:r>
          </w:p>
        </w:tc>
        <w:tc>
          <w:tcPr>
            <w:tcW w:w="420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其他</w:t>
            </w:r>
          </w:p>
        </w:tc>
        <w:tc>
          <w:tcPr>
            <w:tcW w:w="448" w:type="dxa"/>
            <w:vMerge w:val="continue"/>
            <w:tcBorders>
              <w:top w:val="single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471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一、本年新收政府信息公开申请数量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471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二、上年结转政府信息公开申请数量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86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三、本年度办理结果</w:t>
            </w:r>
          </w:p>
        </w:tc>
        <w:tc>
          <w:tcPr>
            <w:tcW w:w="3850" w:type="dxa"/>
            <w:gridSpan w:val="2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（一）予以公开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8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3850" w:type="dxa"/>
            <w:gridSpan w:val="2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（二）部分公开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（区分处理的，只计这一情形，不计其他情形）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三、本年度办理结果</w:t>
            </w:r>
          </w:p>
        </w:tc>
        <w:tc>
          <w:tcPr>
            <w:tcW w:w="1106" w:type="dxa"/>
            <w:vMerge w:val="restart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（三）不予公开</w:t>
            </w:r>
          </w:p>
        </w:tc>
        <w:tc>
          <w:tcPr>
            <w:tcW w:w="2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1.属于国家秘密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2.其他法律行政法规禁止公开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3.危及“三安全一稳定”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4.保护第三方合法权益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5.属于三类内部事务信息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6.属于四类过程性信息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7.属于行政执法案卷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8.属于行政查询事项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 w:val="restart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（四）无法提供</w:t>
            </w:r>
          </w:p>
        </w:tc>
        <w:tc>
          <w:tcPr>
            <w:tcW w:w="2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1.本机关不掌握相关政府信息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2.没有现成信息需要另行制作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3.补正后申请内容仍不明确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 w:val="restart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（五）不予处理</w:t>
            </w:r>
          </w:p>
        </w:tc>
        <w:tc>
          <w:tcPr>
            <w:tcW w:w="2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1.信访举报投诉类申请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2.重复申请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3.要求提供公开出版物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4.无正当理由大量反复申请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2744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5.要求行政机关确认或重新出具已获取信息</w:t>
            </w:r>
          </w:p>
        </w:tc>
        <w:tc>
          <w:tcPr>
            <w:tcW w:w="854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 w:val="restart"/>
            <w:tcBorders>
              <w:top w:val="inset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（六）其他处理</w:t>
            </w:r>
          </w:p>
        </w:tc>
        <w:tc>
          <w:tcPr>
            <w:tcW w:w="2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1.申请人无正当理由逾期不补正、行政机关不再处理其政府信息公开申请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inset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2.申请人逾期未按收费通知要求缴纳费用、行政机关不再处理其政府信息公开申请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inset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3.其他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385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（七）总计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471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四、结转下年度继续办理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</w:tbl>
    <w:p>
      <w:pPr>
        <w:adjustRightInd w:val="0"/>
        <w:snapToGrid w:val="0"/>
        <w:spacing w:line="460" w:lineRule="exact"/>
        <w:ind w:firstLine="560" w:firstLineChars="200"/>
        <w:rPr>
          <w:rFonts w:hint="eastAsia" w:ascii="方正黑体_GBK" w:hAnsi="Times New Roman" w:eastAsia="方正黑体_GBK"/>
          <w:snapToGrid w:val="0"/>
          <w:color w:val="000000"/>
          <w:sz w:val="28"/>
          <w:szCs w:val="32"/>
        </w:rPr>
      </w:pPr>
      <w:r>
        <w:rPr>
          <w:rFonts w:hint="eastAsia" w:ascii="方正黑体_GBK" w:hAnsi="Times New Roman" w:eastAsia="方正黑体_GBK"/>
          <w:snapToGrid w:val="0"/>
          <w:color w:val="000000"/>
          <w:sz w:val="28"/>
          <w:szCs w:val="32"/>
        </w:rPr>
        <w:t>四、政府信息公开行政复议、行政诉讼情况</w:t>
      </w:r>
    </w:p>
    <w:tbl>
      <w:tblPr>
        <w:tblStyle w:val="3"/>
        <w:tblW w:w="9072" w:type="dxa"/>
        <w:jc w:val="center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605"/>
        <w:gridCol w:w="605"/>
        <w:gridCol w:w="605"/>
        <w:gridCol w:w="605"/>
        <w:gridCol w:w="604"/>
        <w:gridCol w:w="604"/>
        <w:gridCol w:w="604"/>
        <w:gridCol w:w="605"/>
        <w:gridCol w:w="605"/>
        <w:gridCol w:w="605"/>
        <w:gridCol w:w="605"/>
        <w:gridCol w:w="605"/>
        <w:gridCol w:w="605"/>
        <w:gridCol w:w="605"/>
        <w:gridCol w:w="605"/>
      </w:tblGrid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302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行政复议</w:t>
            </w:r>
          </w:p>
        </w:tc>
        <w:tc>
          <w:tcPr>
            <w:tcW w:w="604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行政诉讼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605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结果维持</w:t>
            </w:r>
          </w:p>
        </w:tc>
        <w:tc>
          <w:tcPr>
            <w:tcW w:w="605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结果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纠正</w:t>
            </w:r>
          </w:p>
        </w:tc>
        <w:tc>
          <w:tcPr>
            <w:tcW w:w="60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其他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结果</w:t>
            </w:r>
          </w:p>
        </w:tc>
        <w:tc>
          <w:tcPr>
            <w:tcW w:w="60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尚未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审结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总计</w:t>
            </w:r>
          </w:p>
        </w:tc>
        <w:tc>
          <w:tcPr>
            <w:tcW w:w="302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未经复议直接起诉</w:t>
            </w:r>
          </w:p>
        </w:tc>
        <w:tc>
          <w:tcPr>
            <w:tcW w:w="302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复议后起诉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</w:p>
        </w:tc>
        <w:tc>
          <w:tcPr>
            <w:tcW w:w="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结果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维持</w:t>
            </w:r>
          </w:p>
        </w:tc>
        <w:tc>
          <w:tcPr>
            <w:tcW w:w="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结果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纠正</w:t>
            </w:r>
          </w:p>
        </w:tc>
        <w:tc>
          <w:tcPr>
            <w:tcW w:w="6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其他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结果</w:t>
            </w:r>
          </w:p>
        </w:tc>
        <w:tc>
          <w:tcPr>
            <w:tcW w:w="6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尚未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审结</w:t>
            </w:r>
          </w:p>
        </w:tc>
        <w:tc>
          <w:tcPr>
            <w:tcW w:w="6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总计</w:t>
            </w:r>
          </w:p>
        </w:tc>
        <w:tc>
          <w:tcPr>
            <w:tcW w:w="6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结果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维持</w:t>
            </w:r>
          </w:p>
        </w:tc>
        <w:tc>
          <w:tcPr>
            <w:tcW w:w="6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结果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纠正</w:t>
            </w:r>
          </w:p>
        </w:tc>
        <w:tc>
          <w:tcPr>
            <w:tcW w:w="6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其他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结果</w:t>
            </w:r>
          </w:p>
        </w:tc>
        <w:tc>
          <w:tcPr>
            <w:tcW w:w="6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尚未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审结</w:t>
            </w:r>
          </w:p>
        </w:tc>
        <w:tc>
          <w:tcPr>
            <w:tcW w:w="6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总计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6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</w:tbl>
    <w:p>
      <w:pPr>
        <w:adjustRightInd w:val="0"/>
        <w:snapToGrid w:val="0"/>
        <w:spacing w:line="460" w:lineRule="exact"/>
        <w:ind w:firstLine="560" w:firstLineChars="200"/>
        <w:rPr>
          <w:rFonts w:ascii="方正黑体_GBK" w:hAnsi="Times New Roman" w:eastAsia="方正黑体_GBK"/>
          <w:snapToGrid w:val="0"/>
          <w:color w:val="000000"/>
          <w:sz w:val="28"/>
          <w:szCs w:val="32"/>
        </w:rPr>
      </w:pPr>
      <w:r>
        <w:rPr>
          <w:rFonts w:hint="eastAsia" w:ascii="方正黑体_GBK" w:hAnsi="Times New Roman" w:eastAsia="方正黑体_GBK"/>
          <w:snapToGrid w:val="0"/>
          <w:color w:val="000000"/>
          <w:sz w:val="28"/>
          <w:szCs w:val="32"/>
        </w:rPr>
        <w:t>五、存在的主要问题及改进情况</w:t>
      </w:r>
    </w:p>
    <w:p>
      <w:pPr>
        <w:adjustRightInd w:val="0"/>
        <w:snapToGrid w:val="0"/>
        <w:spacing w:line="460" w:lineRule="exact"/>
        <w:ind w:firstLine="560" w:firstLineChars="200"/>
        <w:rPr>
          <w:rFonts w:hint="eastAsia" w:ascii="Times New Roman" w:hAnsi="Times New Roman" w:eastAsia="方正仿宋_GBK" w:cs="Times New Roman"/>
          <w:snapToGrid w:val="0"/>
          <w:color w:val="000000"/>
          <w:sz w:val="28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napToGrid w:val="0"/>
          <w:color w:val="000000"/>
          <w:sz w:val="28"/>
          <w:szCs w:val="32"/>
          <w:lang w:val="en-US" w:eastAsia="zh-CN"/>
        </w:rPr>
        <w:t>存在问题：一是政务信息公开的信息质量不高，重点不突出。二是公开便民性有待提高。公开形式还不够丰富，公开内容还不够贴近群众生产生活。</w:t>
      </w:r>
    </w:p>
    <w:p>
      <w:pPr>
        <w:adjustRightInd w:val="0"/>
        <w:snapToGrid w:val="0"/>
        <w:spacing w:line="460" w:lineRule="exact"/>
        <w:ind w:firstLine="560" w:firstLineChars="200"/>
        <w:rPr>
          <w:rFonts w:hint="eastAsia" w:ascii="Times New Roman" w:hAnsi="Times New Roman" w:eastAsia="方正仿宋_GBK" w:cs="Times New Roman"/>
          <w:snapToGrid w:val="0"/>
          <w:color w:val="000000"/>
          <w:sz w:val="28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napToGrid w:val="0"/>
          <w:color w:val="000000"/>
          <w:sz w:val="28"/>
          <w:szCs w:val="32"/>
          <w:lang w:val="en-US" w:eastAsia="zh-CN"/>
        </w:rPr>
        <w:t>改进措施：一是加强政府信息公开的培训和宣传，提高各部门对政府信息公开的认识和重视。加强政府信息公开管理，完善相关制度及考核措施，推进政府信息公开全面、及时、有效。二是强化部门沟通协作。强化政府办与各部门联动，增强信息发布时效性、准确性，以标准化规范化公开不断满足群众信息需求。</w:t>
      </w:r>
    </w:p>
    <w:p>
      <w:pPr>
        <w:adjustRightInd w:val="0"/>
        <w:snapToGrid w:val="0"/>
        <w:spacing w:line="460" w:lineRule="exact"/>
        <w:ind w:firstLine="560" w:firstLineChars="200"/>
        <w:rPr>
          <w:rFonts w:hint="eastAsia" w:ascii="方正黑体_GBK" w:hAnsi="Times New Roman" w:eastAsia="方正黑体_GBK"/>
          <w:snapToGrid w:val="0"/>
          <w:color w:val="000000"/>
          <w:sz w:val="28"/>
          <w:szCs w:val="32"/>
        </w:rPr>
      </w:pPr>
      <w:r>
        <w:rPr>
          <w:rFonts w:hint="eastAsia" w:ascii="方正黑体_GBK" w:hAnsi="Times New Roman" w:eastAsia="方正黑体_GBK"/>
          <w:snapToGrid w:val="0"/>
          <w:color w:val="000000"/>
          <w:sz w:val="28"/>
          <w:szCs w:val="32"/>
        </w:rPr>
        <w:t>六、其他需要报告的事项</w:t>
      </w:r>
    </w:p>
    <w:p>
      <w:pPr>
        <w:adjustRightInd w:val="0"/>
        <w:snapToGrid w:val="0"/>
        <w:spacing w:line="460" w:lineRule="exact"/>
        <w:ind w:firstLine="560" w:firstLineChars="200"/>
        <w:rPr>
          <w:rFonts w:hint="eastAsia" w:ascii="Times New Roman" w:hAnsi="Times New Roman" w:eastAsia="方正仿宋_GBK" w:cs="Times New Roman"/>
          <w:snapToGrid w:val="0"/>
          <w:color w:val="000000"/>
          <w:sz w:val="28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napToGrid w:val="0"/>
          <w:color w:val="000000"/>
          <w:sz w:val="28"/>
          <w:szCs w:val="32"/>
          <w:lang w:val="en-US" w:eastAsia="zh-CN"/>
        </w:rPr>
        <w:t xml:space="preserve">2023年度，太平川乡没有发生有关政府信息公开收费情况。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黑体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书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4MGViMDRmNzMwY2YzMjFlNGVkYzZkZmI0Y2I5YjkifQ=="/>
  </w:docVars>
  <w:rsids>
    <w:rsidRoot w:val="754B60B7"/>
    <w:rsid w:val="0405748B"/>
    <w:rsid w:val="040F7671"/>
    <w:rsid w:val="0A7F1947"/>
    <w:rsid w:val="157A7290"/>
    <w:rsid w:val="162163A6"/>
    <w:rsid w:val="17C538AF"/>
    <w:rsid w:val="19143FA0"/>
    <w:rsid w:val="1C161DDD"/>
    <w:rsid w:val="30196811"/>
    <w:rsid w:val="34A87B74"/>
    <w:rsid w:val="37E241F6"/>
    <w:rsid w:val="39A64349"/>
    <w:rsid w:val="490E5A67"/>
    <w:rsid w:val="4BBD27E6"/>
    <w:rsid w:val="4CFB24FB"/>
    <w:rsid w:val="51D719E2"/>
    <w:rsid w:val="580238A5"/>
    <w:rsid w:val="5C5634AA"/>
    <w:rsid w:val="5C866712"/>
    <w:rsid w:val="5D9E1657"/>
    <w:rsid w:val="5DF12ACB"/>
    <w:rsid w:val="5E6D5BF2"/>
    <w:rsid w:val="610F08B1"/>
    <w:rsid w:val="616A6FEE"/>
    <w:rsid w:val="664204BE"/>
    <w:rsid w:val="6BF662AB"/>
    <w:rsid w:val="754B60B7"/>
    <w:rsid w:val="7622150B"/>
    <w:rsid w:val="7924080B"/>
    <w:rsid w:val="794032AB"/>
    <w:rsid w:val="FD2EB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semiHidden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5">
    <w:name w:val="Strong"/>
    <w:basedOn w:val="4"/>
    <w:autoRedefine/>
    <w:qFormat/>
    <w:uiPriority w:val="0"/>
    <w:rPr>
      <w:b/>
    </w:rPr>
  </w:style>
  <w:style w:type="paragraph" w:customStyle="1" w:styleId="6">
    <w:name w:val="No Spacing1"/>
    <w:autoRedefine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2021-11-04T17:36:00Z</dcterms:created>
  <dc:creator>你怎么可以吃兔兔？</dc:creator>
  <cp:lastModifiedBy>朝忆梨花暮忆雪</cp:lastModifiedBy>
  <cp:lastPrinted>2024-01-12T06:18:00Z</cp:lastPrinted>
  <dcterms:modified xsi:type="dcterms:W3CDTF">2024-01-18T01:57:54Z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013FEE5870F644C28564282B50FC27D7_13</vt:lpwstr>
  </property>
</Properties>
</file>