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95" w:rsidRPr="00284918" w:rsidRDefault="00423F95" w:rsidP="00423F95">
      <w:pPr>
        <w:adjustRightInd w:val="0"/>
        <w:snapToGrid w:val="0"/>
        <w:spacing w:line="460" w:lineRule="exact"/>
        <w:jc w:val="center"/>
        <w:rPr>
          <w:rFonts w:asciiTheme="majorEastAsia" w:eastAsiaTheme="majorEastAsia" w:hAnsiTheme="majorEastAsia"/>
          <w:b/>
          <w:snapToGrid w:val="0"/>
          <w:color w:val="000000"/>
          <w:sz w:val="36"/>
          <w:szCs w:val="44"/>
        </w:rPr>
      </w:pPr>
      <w:r w:rsidRPr="00284918">
        <w:rPr>
          <w:rFonts w:asciiTheme="majorEastAsia" w:eastAsiaTheme="majorEastAsia" w:hAnsiTheme="majorEastAsia" w:hint="eastAsia"/>
          <w:b/>
          <w:snapToGrid w:val="0"/>
          <w:color w:val="000000"/>
          <w:sz w:val="36"/>
          <w:szCs w:val="44"/>
        </w:rPr>
        <w:t>汤原县交通运输局</w:t>
      </w:r>
    </w:p>
    <w:p w:rsidR="00E7519C" w:rsidRPr="00284918" w:rsidRDefault="00423F95">
      <w:pPr>
        <w:adjustRightInd w:val="0"/>
        <w:snapToGrid w:val="0"/>
        <w:spacing w:line="460" w:lineRule="exact"/>
        <w:jc w:val="center"/>
        <w:rPr>
          <w:rFonts w:asciiTheme="majorEastAsia" w:eastAsiaTheme="majorEastAsia" w:hAnsiTheme="majorEastAsia"/>
          <w:b/>
          <w:snapToGrid w:val="0"/>
          <w:color w:val="000000"/>
          <w:sz w:val="36"/>
          <w:szCs w:val="44"/>
        </w:rPr>
      </w:pPr>
      <w:r w:rsidRPr="00284918">
        <w:rPr>
          <w:rFonts w:asciiTheme="majorEastAsia" w:eastAsiaTheme="majorEastAsia" w:hAnsiTheme="majorEastAsia" w:hint="eastAsia"/>
          <w:b/>
          <w:snapToGrid w:val="0"/>
          <w:color w:val="000000"/>
          <w:sz w:val="36"/>
          <w:szCs w:val="44"/>
        </w:rPr>
        <w:t>202</w:t>
      </w:r>
      <w:r w:rsidR="00440DD7" w:rsidRPr="00284918">
        <w:rPr>
          <w:rFonts w:asciiTheme="majorEastAsia" w:eastAsiaTheme="majorEastAsia" w:hAnsiTheme="majorEastAsia" w:hint="eastAsia"/>
          <w:b/>
          <w:snapToGrid w:val="0"/>
          <w:color w:val="000000"/>
          <w:sz w:val="36"/>
          <w:szCs w:val="44"/>
        </w:rPr>
        <w:t>2</w:t>
      </w:r>
      <w:r w:rsidRPr="00284918">
        <w:rPr>
          <w:rFonts w:asciiTheme="majorEastAsia" w:eastAsiaTheme="majorEastAsia" w:hAnsiTheme="majorEastAsia" w:hint="eastAsia"/>
          <w:b/>
          <w:snapToGrid w:val="0"/>
          <w:color w:val="000000"/>
          <w:sz w:val="36"/>
          <w:szCs w:val="44"/>
        </w:rPr>
        <w:t>年政府信息公开工作年度报告</w:t>
      </w:r>
    </w:p>
    <w:p w:rsidR="00E7519C" w:rsidRPr="00284918" w:rsidRDefault="00E7519C">
      <w:pPr>
        <w:adjustRightInd w:val="0"/>
        <w:snapToGrid w:val="0"/>
        <w:spacing w:line="460" w:lineRule="exact"/>
        <w:jc w:val="center"/>
        <w:rPr>
          <w:rFonts w:asciiTheme="majorEastAsia" w:eastAsiaTheme="majorEastAsia" w:hAnsiTheme="majorEastAsia"/>
          <w:b/>
          <w:snapToGrid w:val="0"/>
          <w:color w:val="000000"/>
          <w:sz w:val="36"/>
          <w:szCs w:val="44"/>
        </w:rPr>
      </w:pPr>
    </w:p>
    <w:p w:rsidR="00E7519C" w:rsidRPr="00284918" w:rsidRDefault="00021DA6">
      <w:pPr>
        <w:adjustRightInd w:val="0"/>
        <w:snapToGrid w:val="0"/>
        <w:spacing w:line="460" w:lineRule="exact"/>
        <w:ind w:firstLineChars="200" w:firstLine="560"/>
        <w:rPr>
          <w:rFonts w:ascii="黑体" w:eastAsia="黑体" w:hAnsi="黑体"/>
          <w:snapToGrid w:val="0"/>
          <w:color w:val="000000"/>
          <w:sz w:val="28"/>
          <w:szCs w:val="32"/>
        </w:rPr>
      </w:pPr>
      <w:r w:rsidRPr="00284918">
        <w:rPr>
          <w:rFonts w:ascii="黑体" w:eastAsia="黑体" w:hAnsi="黑体" w:hint="eastAsia"/>
          <w:snapToGrid w:val="0"/>
          <w:color w:val="000000"/>
          <w:sz w:val="28"/>
          <w:szCs w:val="32"/>
        </w:rPr>
        <w:t>一、总体情况</w:t>
      </w:r>
    </w:p>
    <w:p w:rsidR="00423F95" w:rsidRPr="00284918" w:rsidRDefault="00423F95" w:rsidP="00423F95">
      <w:pPr>
        <w:ind w:firstLineChars="200" w:firstLine="560"/>
        <w:rPr>
          <w:rFonts w:ascii="仿宋" w:eastAsia="仿宋" w:hAnsi="仿宋"/>
          <w:snapToGrid w:val="0"/>
          <w:color w:val="000000"/>
          <w:sz w:val="28"/>
          <w:szCs w:val="32"/>
        </w:rPr>
      </w:pPr>
      <w:r w:rsidRPr="00284918">
        <w:rPr>
          <w:rFonts w:ascii="仿宋" w:eastAsia="仿宋" w:hAnsi="仿宋"/>
          <w:snapToGrid w:val="0"/>
          <w:color w:val="000000"/>
          <w:sz w:val="28"/>
          <w:szCs w:val="32"/>
        </w:rPr>
        <w:t>20</w:t>
      </w:r>
      <w:r w:rsidRPr="00284918">
        <w:rPr>
          <w:rFonts w:ascii="仿宋" w:eastAsia="仿宋" w:hAnsi="仿宋" w:hint="eastAsia"/>
          <w:snapToGrid w:val="0"/>
          <w:color w:val="000000"/>
          <w:sz w:val="28"/>
          <w:szCs w:val="32"/>
        </w:rPr>
        <w:t>2</w:t>
      </w:r>
      <w:r w:rsidR="00440DD7" w:rsidRPr="00284918">
        <w:rPr>
          <w:rFonts w:ascii="仿宋" w:eastAsia="仿宋" w:hAnsi="仿宋" w:hint="eastAsia"/>
          <w:snapToGrid w:val="0"/>
          <w:color w:val="000000"/>
          <w:sz w:val="28"/>
          <w:szCs w:val="32"/>
        </w:rPr>
        <w:t>2</w:t>
      </w:r>
      <w:r w:rsidRPr="00284918">
        <w:rPr>
          <w:rFonts w:ascii="仿宋" w:eastAsia="仿宋" w:hAnsi="仿宋"/>
          <w:snapToGrid w:val="0"/>
          <w:color w:val="000000"/>
          <w:sz w:val="28"/>
          <w:szCs w:val="32"/>
        </w:rPr>
        <w:t>年，</w:t>
      </w:r>
      <w:r w:rsidR="00440DD7" w:rsidRPr="00284918">
        <w:rPr>
          <w:rFonts w:ascii="仿宋" w:eastAsia="仿宋" w:hAnsi="仿宋" w:hint="eastAsia"/>
          <w:snapToGrid w:val="0"/>
          <w:color w:val="000000"/>
          <w:sz w:val="28"/>
          <w:szCs w:val="32"/>
        </w:rPr>
        <w:t>汤原县交通运输</w:t>
      </w:r>
      <w:r w:rsidRPr="00284918">
        <w:rPr>
          <w:rFonts w:ascii="仿宋" w:eastAsia="仿宋" w:hAnsi="仿宋"/>
          <w:snapToGrid w:val="0"/>
          <w:color w:val="000000"/>
          <w:sz w:val="28"/>
          <w:szCs w:val="32"/>
        </w:rPr>
        <w:t>局认真贯彻落实《政府信息公开条例》等法律法规和有关文件精神，把政府信息公开工作作为加强机关效能、政风行风建设和党风廉政建设的重要举措，促进依法行政、廉洁行政，积极拓展政府信息公开渠道，不断增强工作透明度，切实保障群众依法、及时、准确获得交通运输相关信息的权利，收到了良好的社会效果。</w:t>
      </w:r>
    </w:p>
    <w:p w:rsidR="00115124" w:rsidRPr="00C575E7" w:rsidRDefault="00423F95" w:rsidP="00115124">
      <w:pPr>
        <w:ind w:firstLineChars="200" w:firstLine="562"/>
        <w:rPr>
          <w:rFonts w:ascii="仿宋" w:eastAsia="仿宋" w:hAnsi="仿宋" w:hint="eastAsia"/>
          <w:snapToGrid w:val="0"/>
          <w:color w:val="000000"/>
          <w:sz w:val="28"/>
          <w:szCs w:val="32"/>
        </w:rPr>
      </w:pPr>
      <w:r w:rsidRPr="00284918">
        <w:rPr>
          <w:rFonts w:ascii="仿宋" w:eastAsia="仿宋" w:hAnsi="仿宋"/>
          <w:b/>
          <w:snapToGrid w:val="0"/>
          <w:color w:val="000000"/>
          <w:sz w:val="28"/>
          <w:szCs w:val="32"/>
        </w:rPr>
        <w:t>（一）</w:t>
      </w:r>
      <w:r w:rsidR="00115124">
        <w:rPr>
          <w:rFonts w:ascii="仿宋" w:eastAsia="仿宋" w:hAnsi="仿宋" w:hint="eastAsia"/>
          <w:b/>
          <w:snapToGrid w:val="0"/>
          <w:color w:val="000000"/>
          <w:sz w:val="28"/>
          <w:szCs w:val="32"/>
        </w:rPr>
        <w:t>主动公开方面</w:t>
      </w:r>
      <w:r w:rsidRPr="00284918">
        <w:rPr>
          <w:rFonts w:ascii="仿宋" w:eastAsia="仿宋" w:hAnsi="仿宋"/>
          <w:b/>
          <w:snapToGrid w:val="0"/>
          <w:color w:val="000000"/>
          <w:sz w:val="28"/>
          <w:szCs w:val="32"/>
        </w:rPr>
        <w:t>。</w:t>
      </w:r>
      <w:r w:rsidR="00115124" w:rsidRPr="00115124">
        <w:rPr>
          <w:rFonts w:ascii="仿宋" w:eastAsia="仿宋" w:hAnsi="仿宋" w:hint="eastAsia"/>
          <w:snapToGrid w:val="0"/>
          <w:color w:val="000000"/>
          <w:sz w:val="28"/>
          <w:szCs w:val="32"/>
        </w:rPr>
        <w:t>一是</w:t>
      </w:r>
      <w:r w:rsidR="00115124">
        <w:rPr>
          <w:rFonts w:ascii="仿宋" w:eastAsia="仿宋" w:hAnsi="仿宋" w:hint="eastAsia"/>
          <w:snapToGrid w:val="0"/>
          <w:color w:val="000000"/>
          <w:sz w:val="28"/>
          <w:szCs w:val="32"/>
        </w:rPr>
        <w:t>主动公开并及时更新机关职能、机构设置、办公地址、办公时间、联系方式等政府信息。二</w:t>
      </w:r>
      <w:r w:rsidR="00C64D68">
        <w:rPr>
          <w:rFonts w:ascii="仿宋" w:eastAsia="仿宋" w:hAnsi="仿宋"/>
          <w:snapToGrid w:val="0"/>
          <w:color w:val="000000"/>
          <w:sz w:val="28"/>
          <w:szCs w:val="32"/>
        </w:rPr>
        <w:t>是及时对工程建设、行业管理等重点领域政府信息进行公开</w:t>
      </w:r>
      <w:r w:rsidR="00115124" w:rsidRPr="00284918">
        <w:rPr>
          <w:rFonts w:ascii="仿宋" w:eastAsia="仿宋" w:hAnsi="仿宋"/>
          <w:snapToGrid w:val="0"/>
          <w:color w:val="000000"/>
          <w:sz w:val="28"/>
          <w:szCs w:val="32"/>
        </w:rPr>
        <w:t>；及时公开相关业务的公告公示、工作动态、办事指南等。</w:t>
      </w:r>
      <w:r w:rsidR="00115124">
        <w:rPr>
          <w:rFonts w:ascii="仿宋" w:eastAsia="仿宋" w:hAnsi="仿宋" w:hint="eastAsia"/>
          <w:snapToGrid w:val="0"/>
          <w:color w:val="000000"/>
          <w:sz w:val="28"/>
          <w:szCs w:val="32"/>
        </w:rPr>
        <w:t>三</w:t>
      </w:r>
      <w:r w:rsidR="00115124" w:rsidRPr="00284918">
        <w:rPr>
          <w:rFonts w:ascii="仿宋" w:eastAsia="仿宋" w:hAnsi="仿宋"/>
          <w:snapToGrid w:val="0"/>
          <w:color w:val="000000"/>
          <w:sz w:val="28"/>
          <w:szCs w:val="32"/>
        </w:rPr>
        <w:t>是将办理出租车、客货运输车辆办理依据、办理程序、办理时限等相关内容在</w:t>
      </w:r>
      <w:r w:rsidR="00115124" w:rsidRPr="00284918">
        <w:rPr>
          <w:rFonts w:ascii="仿宋" w:eastAsia="仿宋" w:hAnsi="仿宋" w:hint="eastAsia"/>
          <w:snapToGrid w:val="0"/>
          <w:color w:val="000000"/>
          <w:sz w:val="28"/>
          <w:szCs w:val="32"/>
        </w:rPr>
        <w:t>行政中心业务办事</w:t>
      </w:r>
      <w:r w:rsidR="00115124" w:rsidRPr="00284918">
        <w:rPr>
          <w:rFonts w:ascii="仿宋" w:eastAsia="仿宋" w:hAnsi="仿宋"/>
          <w:snapToGrid w:val="0"/>
          <w:color w:val="000000"/>
          <w:sz w:val="28"/>
          <w:szCs w:val="32"/>
        </w:rPr>
        <w:t>窗口处逐一张贴公示，方便</w:t>
      </w:r>
      <w:r w:rsidR="00115124" w:rsidRPr="00284918">
        <w:rPr>
          <w:rFonts w:ascii="仿宋" w:eastAsia="仿宋" w:hAnsi="仿宋" w:hint="eastAsia"/>
          <w:snapToGrid w:val="0"/>
          <w:color w:val="000000"/>
          <w:sz w:val="28"/>
          <w:szCs w:val="32"/>
        </w:rPr>
        <w:t>群众</w:t>
      </w:r>
      <w:r w:rsidR="00115124" w:rsidRPr="00284918">
        <w:rPr>
          <w:rFonts w:ascii="仿宋" w:eastAsia="仿宋" w:hAnsi="仿宋"/>
          <w:snapToGrid w:val="0"/>
          <w:color w:val="000000"/>
          <w:sz w:val="28"/>
          <w:szCs w:val="32"/>
        </w:rPr>
        <w:t>了解办理流程和所需材料。</w:t>
      </w:r>
    </w:p>
    <w:p w:rsidR="00115124" w:rsidRDefault="00115124" w:rsidP="00587251">
      <w:pPr>
        <w:ind w:firstLineChars="200" w:firstLine="562"/>
        <w:rPr>
          <w:rFonts w:ascii="仿宋" w:eastAsia="仿宋" w:hAnsi="仿宋" w:hint="eastAsia"/>
          <w:snapToGrid w:val="0"/>
          <w:color w:val="000000"/>
          <w:sz w:val="28"/>
          <w:szCs w:val="32"/>
        </w:rPr>
      </w:pPr>
      <w:r w:rsidRPr="00587251">
        <w:rPr>
          <w:rFonts w:ascii="仿宋" w:eastAsia="仿宋" w:hAnsi="仿宋" w:hint="eastAsia"/>
          <w:b/>
          <w:snapToGrid w:val="0"/>
          <w:color w:val="000000"/>
          <w:sz w:val="28"/>
          <w:szCs w:val="32"/>
        </w:rPr>
        <w:t>（二）依申请公开方面。</w:t>
      </w:r>
      <w:r>
        <w:rPr>
          <w:rFonts w:ascii="仿宋" w:eastAsia="仿宋" w:hAnsi="仿宋" w:hint="eastAsia"/>
          <w:snapToGrid w:val="0"/>
          <w:color w:val="000000"/>
          <w:sz w:val="28"/>
          <w:szCs w:val="32"/>
        </w:rPr>
        <w:t>县交通运输局严格按照《中华人民共和国政府信息公开条例》相关要求开展各项政务公开工作。2022年，</w:t>
      </w:r>
      <w:r w:rsidR="00587251">
        <w:rPr>
          <w:rFonts w:ascii="仿宋" w:eastAsia="仿宋" w:hAnsi="仿宋" w:hint="eastAsia"/>
          <w:snapToGrid w:val="0"/>
          <w:color w:val="000000"/>
          <w:sz w:val="28"/>
          <w:szCs w:val="32"/>
        </w:rPr>
        <w:t>未收到依申请公开申请。</w:t>
      </w:r>
    </w:p>
    <w:p w:rsidR="00423F95" w:rsidRPr="00587251" w:rsidRDefault="00423F95" w:rsidP="00115124">
      <w:pPr>
        <w:ind w:firstLineChars="200" w:firstLine="562"/>
        <w:rPr>
          <w:rFonts w:ascii="仿宋" w:eastAsia="仿宋" w:hAnsi="仿宋"/>
          <w:snapToGrid w:val="0"/>
          <w:color w:val="000000"/>
          <w:sz w:val="28"/>
          <w:szCs w:val="32"/>
        </w:rPr>
      </w:pPr>
      <w:r w:rsidRPr="00284918">
        <w:rPr>
          <w:rFonts w:ascii="仿宋" w:eastAsia="仿宋" w:hAnsi="仿宋"/>
          <w:b/>
          <w:snapToGrid w:val="0"/>
          <w:color w:val="000000"/>
          <w:sz w:val="28"/>
          <w:szCs w:val="32"/>
        </w:rPr>
        <w:t>（</w:t>
      </w:r>
      <w:r w:rsidR="00587251">
        <w:rPr>
          <w:rFonts w:ascii="仿宋" w:eastAsia="仿宋" w:hAnsi="仿宋" w:hint="eastAsia"/>
          <w:b/>
          <w:snapToGrid w:val="0"/>
          <w:color w:val="000000"/>
          <w:sz w:val="28"/>
          <w:szCs w:val="32"/>
        </w:rPr>
        <w:t>三</w:t>
      </w:r>
      <w:r w:rsidRPr="00284918">
        <w:rPr>
          <w:rFonts w:ascii="仿宋" w:eastAsia="仿宋" w:hAnsi="仿宋"/>
          <w:b/>
          <w:snapToGrid w:val="0"/>
          <w:color w:val="000000"/>
          <w:sz w:val="28"/>
          <w:szCs w:val="32"/>
        </w:rPr>
        <w:t>）</w:t>
      </w:r>
      <w:r w:rsidR="00587251">
        <w:rPr>
          <w:rFonts w:ascii="仿宋" w:eastAsia="仿宋" w:hAnsi="仿宋" w:hint="eastAsia"/>
          <w:b/>
          <w:snapToGrid w:val="0"/>
          <w:color w:val="000000"/>
          <w:sz w:val="28"/>
          <w:szCs w:val="32"/>
        </w:rPr>
        <w:t>政府信息管理情况</w:t>
      </w:r>
      <w:r w:rsidRPr="00284918">
        <w:rPr>
          <w:rFonts w:ascii="仿宋" w:eastAsia="仿宋" w:hAnsi="仿宋"/>
          <w:b/>
          <w:snapToGrid w:val="0"/>
          <w:color w:val="000000"/>
          <w:sz w:val="28"/>
          <w:szCs w:val="32"/>
        </w:rPr>
        <w:t>。</w:t>
      </w:r>
      <w:r w:rsidR="00587251" w:rsidRPr="00587251">
        <w:rPr>
          <w:rFonts w:ascii="仿宋" w:eastAsia="仿宋" w:hAnsi="仿宋" w:hint="eastAsia"/>
          <w:snapToGrid w:val="0"/>
          <w:color w:val="000000"/>
          <w:sz w:val="28"/>
          <w:szCs w:val="32"/>
        </w:rPr>
        <w:t>加强政务公开制度化规范化管理，严格</w:t>
      </w:r>
      <w:r w:rsidR="00C64D68">
        <w:rPr>
          <w:rFonts w:ascii="仿宋" w:eastAsia="仿宋" w:hAnsi="仿宋" w:hint="eastAsia"/>
          <w:snapToGrid w:val="0"/>
          <w:color w:val="000000"/>
          <w:sz w:val="28"/>
          <w:szCs w:val="32"/>
        </w:rPr>
        <w:t>遵循</w:t>
      </w:r>
      <w:r w:rsidR="00587251" w:rsidRPr="00587251">
        <w:rPr>
          <w:rFonts w:ascii="仿宋" w:eastAsia="仿宋" w:hAnsi="仿宋" w:hint="eastAsia"/>
          <w:snapToGrid w:val="0"/>
          <w:color w:val="000000"/>
          <w:sz w:val="28"/>
          <w:szCs w:val="32"/>
        </w:rPr>
        <w:t>“先审查、后发布</w:t>
      </w:r>
      <w:r w:rsidR="00587251">
        <w:rPr>
          <w:rFonts w:ascii="仿宋" w:eastAsia="仿宋" w:hAnsi="仿宋" w:hint="eastAsia"/>
          <w:snapToGrid w:val="0"/>
          <w:color w:val="000000"/>
          <w:sz w:val="28"/>
          <w:szCs w:val="32"/>
        </w:rPr>
        <w:t>，</w:t>
      </w:r>
      <w:r w:rsidR="00587251" w:rsidRPr="00587251">
        <w:rPr>
          <w:rFonts w:ascii="仿宋" w:eastAsia="仿宋" w:hAnsi="仿宋" w:hint="eastAsia"/>
          <w:snapToGrid w:val="0"/>
          <w:color w:val="000000"/>
          <w:sz w:val="28"/>
          <w:szCs w:val="32"/>
        </w:rPr>
        <w:t>谁发布、谁负责”的原则，</w:t>
      </w:r>
      <w:r w:rsidR="00C64D68">
        <w:rPr>
          <w:rFonts w:ascii="仿宋" w:eastAsia="仿宋" w:hAnsi="仿宋" w:hint="eastAsia"/>
          <w:snapToGrid w:val="0"/>
          <w:color w:val="000000"/>
          <w:sz w:val="28"/>
          <w:szCs w:val="32"/>
        </w:rPr>
        <w:t>规范公开内容，完善发布流程，严格做好政府信息管理工作。</w:t>
      </w:r>
    </w:p>
    <w:p w:rsidR="00C64D68" w:rsidRPr="00C64D68" w:rsidRDefault="00C64D68" w:rsidP="00284918">
      <w:pPr>
        <w:ind w:firstLineChars="200" w:firstLine="562"/>
        <w:rPr>
          <w:rFonts w:ascii="仿宋" w:eastAsia="仿宋" w:hAnsi="仿宋" w:hint="eastAsia"/>
          <w:snapToGrid w:val="0"/>
          <w:color w:val="000000"/>
          <w:sz w:val="28"/>
          <w:szCs w:val="32"/>
        </w:rPr>
      </w:pPr>
      <w:r>
        <w:rPr>
          <w:rFonts w:ascii="仿宋" w:eastAsia="仿宋" w:hAnsi="仿宋" w:hint="eastAsia"/>
          <w:b/>
          <w:snapToGrid w:val="0"/>
          <w:color w:val="000000"/>
          <w:sz w:val="28"/>
          <w:szCs w:val="32"/>
        </w:rPr>
        <w:t>（四）政府信息公开平台建设方面。</w:t>
      </w:r>
      <w:r w:rsidRPr="00C64D68">
        <w:rPr>
          <w:rFonts w:ascii="仿宋" w:eastAsia="仿宋" w:hAnsi="仿宋" w:hint="eastAsia"/>
          <w:snapToGrid w:val="0"/>
          <w:color w:val="000000"/>
          <w:sz w:val="28"/>
          <w:szCs w:val="32"/>
        </w:rPr>
        <w:t>县交通运输局依托县政府门</w:t>
      </w:r>
      <w:r w:rsidRPr="00C64D68">
        <w:rPr>
          <w:rFonts w:ascii="仿宋" w:eastAsia="仿宋" w:hAnsi="仿宋" w:hint="eastAsia"/>
          <w:snapToGrid w:val="0"/>
          <w:color w:val="000000"/>
          <w:sz w:val="28"/>
          <w:szCs w:val="32"/>
        </w:rPr>
        <w:lastRenderedPageBreak/>
        <w:t>户网站为主要公开平台，2022年在县政府门户网站共发布信息10条。</w:t>
      </w:r>
    </w:p>
    <w:p w:rsidR="00423F95" w:rsidRPr="00284918" w:rsidRDefault="00423F95" w:rsidP="00284918">
      <w:pPr>
        <w:ind w:firstLineChars="200" w:firstLine="562"/>
        <w:rPr>
          <w:rFonts w:ascii="仿宋" w:eastAsia="仿宋" w:hAnsi="仿宋"/>
          <w:snapToGrid w:val="0"/>
          <w:color w:val="000000"/>
          <w:sz w:val="28"/>
          <w:szCs w:val="32"/>
        </w:rPr>
      </w:pPr>
      <w:r w:rsidRPr="00284918">
        <w:rPr>
          <w:rFonts w:ascii="仿宋" w:eastAsia="仿宋" w:hAnsi="仿宋"/>
          <w:b/>
          <w:snapToGrid w:val="0"/>
          <w:color w:val="000000"/>
          <w:sz w:val="28"/>
          <w:szCs w:val="32"/>
        </w:rPr>
        <w:t>（</w:t>
      </w:r>
      <w:r w:rsidR="00C64D68">
        <w:rPr>
          <w:rFonts w:ascii="仿宋" w:eastAsia="仿宋" w:hAnsi="仿宋" w:hint="eastAsia"/>
          <w:b/>
          <w:snapToGrid w:val="0"/>
          <w:color w:val="000000"/>
          <w:sz w:val="28"/>
          <w:szCs w:val="32"/>
        </w:rPr>
        <w:t>五</w:t>
      </w:r>
      <w:r w:rsidRPr="00284918">
        <w:rPr>
          <w:rFonts w:ascii="仿宋" w:eastAsia="仿宋" w:hAnsi="仿宋"/>
          <w:b/>
          <w:snapToGrid w:val="0"/>
          <w:color w:val="000000"/>
          <w:sz w:val="28"/>
          <w:szCs w:val="32"/>
        </w:rPr>
        <w:t>）</w:t>
      </w:r>
      <w:r w:rsidR="00C64D68">
        <w:rPr>
          <w:rFonts w:ascii="仿宋" w:eastAsia="仿宋" w:hAnsi="仿宋" w:hint="eastAsia"/>
          <w:b/>
          <w:snapToGrid w:val="0"/>
          <w:color w:val="000000"/>
          <w:sz w:val="28"/>
          <w:szCs w:val="32"/>
        </w:rPr>
        <w:t>监督保障方面</w:t>
      </w:r>
      <w:r w:rsidRPr="00284918">
        <w:rPr>
          <w:rFonts w:ascii="仿宋" w:eastAsia="仿宋" w:hAnsi="仿宋"/>
          <w:b/>
          <w:snapToGrid w:val="0"/>
          <w:color w:val="000000"/>
          <w:sz w:val="28"/>
          <w:szCs w:val="32"/>
        </w:rPr>
        <w:t>。</w:t>
      </w:r>
      <w:r w:rsidRPr="00284918">
        <w:rPr>
          <w:rFonts w:ascii="仿宋" w:eastAsia="仿宋" w:hAnsi="仿宋"/>
          <w:snapToGrid w:val="0"/>
          <w:color w:val="000000"/>
          <w:sz w:val="28"/>
          <w:szCs w:val="32"/>
        </w:rPr>
        <w:t>20</w:t>
      </w:r>
      <w:r w:rsidRPr="00284918">
        <w:rPr>
          <w:rFonts w:ascii="仿宋" w:eastAsia="仿宋" w:hAnsi="仿宋" w:hint="eastAsia"/>
          <w:snapToGrid w:val="0"/>
          <w:color w:val="000000"/>
          <w:sz w:val="28"/>
          <w:szCs w:val="32"/>
        </w:rPr>
        <w:t>2</w:t>
      </w:r>
      <w:r w:rsidR="00440DD7" w:rsidRPr="00284918">
        <w:rPr>
          <w:rFonts w:ascii="仿宋" w:eastAsia="仿宋" w:hAnsi="仿宋" w:hint="eastAsia"/>
          <w:snapToGrid w:val="0"/>
          <w:color w:val="000000"/>
          <w:sz w:val="28"/>
          <w:szCs w:val="32"/>
        </w:rPr>
        <w:t>2</w:t>
      </w:r>
      <w:r w:rsidRPr="00284918">
        <w:rPr>
          <w:rFonts w:ascii="仿宋" w:eastAsia="仿宋" w:hAnsi="仿宋"/>
          <w:snapToGrid w:val="0"/>
          <w:color w:val="000000"/>
          <w:sz w:val="28"/>
          <w:szCs w:val="32"/>
        </w:rPr>
        <w:t>年，我局将政府信息公开工作纳入年度考核范围，对各股室及局属各基层单位的政府信息公开工作开展情</w:t>
      </w:r>
      <w:r w:rsidR="00C64D68">
        <w:rPr>
          <w:rFonts w:ascii="仿宋" w:eastAsia="仿宋" w:hAnsi="仿宋"/>
          <w:snapToGrid w:val="0"/>
          <w:color w:val="000000"/>
          <w:sz w:val="28"/>
          <w:szCs w:val="32"/>
        </w:rPr>
        <w:t>况和各项任务的完成情况实行不定期检查，主要包括应主动公开的信息</w:t>
      </w:r>
      <w:r w:rsidRPr="00284918">
        <w:rPr>
          <w:rFonts w:ascii="仿宋" w:eastAsia="仿宋" w:hAnsi="仿宋"/>
          <w:snapToGrid w:val="0"/>
          <w:color w:val="000000"/>
          <w:sz w:val="28"/>
          <w:szCs w:val="32"/>
        </w:rPr>
        <w:t>、操作中存在的问题等，通过平时检查督查，及时发现问题，研究整改</w:t>
      </w:r>
      <w:r w:rsidR="00C64D68">
        <w:rPr>
          <w:rFonts w:ascii="仿宋" w:eastAsia="仿宋" w:hAnsi="仿宋" w:hint="eastAsia"/>
          <w:snapToGrid w:val="0"/>
          <w:color w:val="000000"/>
          <w:sz w:val="28"/>
          <w:szCs w:val="32"/>
        </w:rPr>
        <w:t>，进一步推动落实政务公开工作</w:t>
      </w:r>
      <w:r w:rsidRPr="00284918">
        <w:rPr>
          <w:rFonts w:ascii="仿宋" w:eastAsia="仿宋" w:hAnsi="仿宋"/>
          <w:snapToGrid w:val="0"/>
          <w:color w:val="000000"/>
          <w:sz w:val="28"/>
          <w:szCs w:val="32"/>
        </w:rPr>
        <w:t>。</w:t>
      </w:r>
    </w:p>
    <w:p w:rsidR="00123F30" w:rsidRDefault="00021DA6" w:rsidP="00C575E7">
      <w:pPr>
        <w:adjustRightInd w:val="0"/>
        <w:snapToGrid w:val="0"/>
        <w:spacing w:line="460" w:lineRule="exact"/>
        <w:ind w:firstLineChars="200" w:firstLine="560"/>
        <w:rPr>
          <w:rFonts w:ascii="黑体" w:eastAsia="黑体" w:hAnsi="黑体" w:hint="eastAsia"/>
          <w:snapToGrid w:val="0"/>
          <w:color w:val="000000"/>
          <w:sz w:val="28"/>
          <w:szCs w:val="32"/>
        </w:rPr>
      </w:pPr>
      <w:r w:rsidRPr="00284918">
        <w:rPr>
          <w:rFonts w:ascii="黑体" w:eastAsia="黑体" w:hAnsi="黑体" w:hint="eastAsia"/>
          <w:snapToGrid w:val="0"/>
          <w:color w:val="000000"/>
          <w:sz w:val="28"/>
          <w:szCs w:val="32"/>
        </w:rPr>
        <w:t>二、主动公开政府信息情况</w:t>
      </w:r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268"/>
        <w:gridCol w:w="2268"/>
        <w:gridCol w:w="2268"/>
        <w:gridCol w:w="2268"/>
      </w:tblGrid>
      <w:tr w:rsidR="006B2CED" w:rsidTr="00CF337B">
        <w:trPr>
          <w:trHeight w:val="397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5B9BD5" w:themeColor="accent1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现行有效件数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177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E7519C" w:rsidRDefault="00021DA6" w:rsidP="006B2CED">
      <w:pPr>
        <w:adjustRightInd w:val="0"/>
        <w:snapToGrid w:val="0"/>
        <w:spacing w:line="460" w:lineRule="exact"/>
        <w:ind w:firstLineChars="200" w:firstLine="560"/>
        <w:rPr>
          <w:rFonts w:ascii="黑体" w:eastAsia="黑体" w:hAnsi="黑体" w:hint="eastAsia"/>
          <w:snapToGrid w:val="0"/>
          <w:color w:val="000000"/>
          <w:sz w:val="28"/>
          <w:szCs w:val="32"/>
        </w:rPr>
      </w:pPr>
      <w:r w:rsidRPr="00284918">
        <w:rPr>
          <w:rFonts w:ascii="黑体" w:eastAsia="黑体" w:hAnsi="黑体" w:hint="eastAsia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 w:rsidR="006B2CED" w:rsidTr="00CF337B">
        <w:trPr>
          <w:trHeight w:val="397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left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申请人情况</w:t>
            </w:r>
          </w:p>
        </w:tc>
      </w:tr>
      <w:tr w:rsidR="006B2CED" w:rsidTr="00CF337B">
        <w:trPr>
          <w:trHeight w:val="397"/>
          <w:tblHeader/>
          <w:jc w:val="center"/>
        </w:trPr>
        <w:tc>
          <w:tcPr>
            <w:tcW w:w="4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总计</w:t>
            </w:r>
          </w:p>
        </w:tc>
      </w:tr>
      <w:tr w:rsidR="006B2CED" w:rsidTr="00CF337B">
        <w:trPr>
          <w:trHeight w:val="397"/>
          <w:tblHeader/>
          <w:jc w:val="center"/>
        </w:trPr>
        <w:tc>
          <w:tcPr>
            <w:tcW w:w="4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商业</w:t>
            </w:r>
          </w:p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科研</w:t>
            </w:r>
          </w:p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</w:tr>
      <w:tr w:rsidR="006B2CED" w:rsidTr="00CF337B">
        <w:trPr>
          <w:trHeight w:val="397"/>
          <w:jc w:val="center"/>
        </w:trPr>
        <w:tc>
          <w:tcPr>
            <w:tcW w:w="4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4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三、本年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lastRenderedPageBreak/>
              <w:t>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lastRenderedPageBreak/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（二）部分公开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lastRenderedPageBreak/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6B2CED" w:rsidTr="00CF337B">
        <w:trPr>
          <w:trHeight w:val="425"/>
          <w:jc w:val="center"/>
        </w:trPr>
        <w:tc>
          <w:tcPr>
            <w:tcW w:w="4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6B2CED" w:rsidRPr="00284918" w:rsidRDefault="00021DA6" w:rsidP="006B2CED">
      <w:pPr>
        <w:adjustRightInd w:val="0"/>
        <w:snapToGrid w:val="0"/>
        <w:spacing w:line="460" w:lineRule="exact"/>
        <w:ind w:firstLineChars="200" w:firstLine="560"/>
        <w:rPr>
          <w:rFonts w:ascii="黑体" w:eastAsia="黑体" w:hAnsi="黑体"/>
          <w:snapToGrid w:val="0"/>
          <w:color w:val="000000"/>
          <w:sz w:val="28"/>
          <w:szCs w:val="32"/>
        </w:rPr>
      </w:pPr>
      <w:r w:rsidRPr="00284918">
        <w:rPr>
          <w:rFonts w:ascii="黑体" w:eastAsia="黑体" w:hAnsi="黑体" w:hint="eastAsia"/>
          <w:snapToGrid w:val="0"/>
          <w:color w:val="000000"/>
          <w:sz w:val="28"/>
          <w:szCs w:val="32"/>
        </w:rPr>
        <w:lastRenderedPageBreak/>
        <w:t>四、政府信息公开行政复议、行政诉讼情况</w:t>
      </w:r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6B2CED" w:rsidTr="00CF337B">
        <w:trPr>
          <w:trHeight w:val="397"/>
          <w:jc w:val="center"/>
        </w:trPr>
        <w:tc>
          <w:tcPr>
            <w:tcW w:w="30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widowControl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widowControl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行政诉讼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纠正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结果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尚未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审结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复议后起诉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6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维持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尚未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维持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尚未</w:t>
            </w: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br/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总计</w:t>
            </w:r>
          </w:p>
        </w:tc>
      </w:tr>
      <w:tr w:rsidR="006B2CED" w:rsidTr="00CF337B">
        <w:trPr>
          <w:trHeight w:val="397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B2CED" w:rsidRDefault="006B2CED" w:rsidP="00CF337B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E7519C" w:rsidRPr="00284918" w:rsidRDefault="00021DA6" w:rsidP="006B2CED">
      <w:pPr>
        <w:adjustRightInd w:val="0"/>
        <w:snapToGrid w:val="0"/>
        <w:spacing w:line="460" w:lineRule="exact"/>
        <w:ind w:firstLineChars="200" w:firstLine="560"/>
        <w:rPr>
          <w:rFonts w:ascii="黑体" w:eastAsia="黑体" w:hAnsi="黑体"/>
          <w:snapToGrid w:val="0"/>
          <w:color w:val="000000"/>
          <w:sz w:val="28"/>
          <w:szCs w:val="32"/>
        </w:rPr>
      </w:pPr>
      <w:r w:rsidRPr="00284918">
        <w:rPr>
          <w:rFonts w:ascii="黑体" w:eastAsia="黑体" w:hAnsi="黑体" w:hint="eastAsia"/>
          <w:snapToGrid w:val="0"/>
          <w:color w:val="000000"/>
          <w:sz w:val="28"/>
          <w:szCs w:val="32"/>
        </w:rPr>
        <w:t>五、存在的主要问题及改进情况</w:t>
      </w:r>
    </w:p>
    <w:p w:rsidR="00423F95" w:rsidRPr="00284918" w:rsidRDefault="00423F95" w:rsidP="00423F95">
      <w:pPr>
        <w:spacing w:line="540" w:lineRule="exact"/>
        <w:ind w:firstLineChars="200" w:firstLine="560"/>
        <w:rPr>
          <w:rFonts w:ascii="仿宋" w:eastAsia="仿宋" w:hAnsi="仿宋"/>
          <w:snapToGrid w:val="0"/>
          <w:color w:val="000000"/>
          <w:sz w:val="28"/>
          <w:szCs w:val="32"/>
        </w:rPr>
      </w:pPr>
      <w:r w:rsidRPr="00284918">
        <w:rPr>
          <w:rFonts w:ascii="仿宋" w:eastAsia="仿宋" w:hAnsi="仿宋"/>
          <w:snapToGrid w:val="0"/>
          <w:color w:val="000000"/>
          <w:sz w:val="28"/>
          <w:szCs w:val="32"/>
        </w:rPr>
        <w:t>20</w:t>
      </w:r>
      <w:r w:rsidRPr="00284918">
        <w:rPr>
          <w:rFonts w:ascii="仿宋" w:eastAsia="仿宋" w:hAnsi="仿宋" w:hint="eastAsia"/>
          <w:snapToGrid w:val="0"/>
          <w:color w:val="000000"/>
          <w:sz w:val="28"/>
          <w:szCs w:val="32"/>
        </w:rPr>
        <w:t>2</w:t>
      </w:r>
      <w:r w:rsidR="007E01D8" w:rsidRPr="00284918">
        <w:rPr>
          <w:rFonts w:ascii="仿宋" w:eastAsia="仿宋" w:hAnsi="仿宋" w:hint="eastAsia"/>
          <w:snapToGrid w:val="0"/>
          <w:color w:val="000000"/>
          <w:sz w:val="28"/>
          <w:szCs w:val="32"/>
        </w:rPr>
        <w:t>2</w:t>
      </w:r>
      <w:r w:rsidRPr="00284918">
        <w:rPr>
          <w:rFonts w:ascii="仿宋" w:eastAsia="仿宋" w:hAnsi="仿宋"/>
          <w:snapToGrid w:val="0"/>
          <w:color w:val="000000"/>
          <w:sz w:val="28"/>
          <w:szCs w:val="32"/>
        </w:rPr>
        <w:t>年，我局在政府信息公开工作中还存在着公开内容形式较为单一、公开形式便民性需要进一步提高、主动公开的政府信息内容与公众需求存在一定差距等问题，结合工作中存在问题和不足，我局考虑从以下三个方面进一步改进：一是不断丰富政府信息公开内容，突出重点、热点和难点问题，把群众最关心、反应最强烈的事项作为政府信息公开的主要内容，完善信息公开措施，优化信息公开环境，改进信息公开方式。二是进一步扩大政务公开的深度与广度，在做好以政府网站为政务公开工作主战场的同时，积极推进微博、微信等新媒体平台</w:t>
      </w:r>
      <w:r w:rsidRPr="00284918">
        <w:rPr>
          <w:rFonts w:ascii="仿宋" w:eastAsia="仿宋" w:hAnsi="仿宋" w:hint="eastAsia"/>
          <w:snapToGrid w:val="0"/>
          <w:color w:val="000000"/>
          <w:sz w:val="28"/>
          <w:szCs w:val="32"/>
        </w:rPr>
        <w:t>建立</w:t>
      </w:r>
      <w:r w:rsidRPr="00284918">
        <w:rPr>
          <w:rFonts w:ascii="仿宋" w:eastAsia="仿宋" w:hAnsi="仿宋"/>
          <w:snapToGrid w:val="0"/>
          <w:color w:val="000000"/>
          <w:sz w:val="28"/>
          <w:szCs w:val="32"/>
        </w:rPr>
        <w:t>，扩展公众参与政务公开的渠道和途径。三是加强政府信息公开人员队伍建设，合理安排兼职人员的工作任务，提高政府信息公开效率和质量。</w:t>
      </w:r>
    </w:p>
    <w:p w:rsidR="00E7519C" w:rsidRPr="00284918" w:rsidRDefault="00021DA6">
      <w:pPr>
        <w:adjustRightInd w:val="0"/>
        <w:snapToGrid w:val="0"/>
        <w:spacing w:line="460" w:lineRule="exact"/>
        <w:ind w:firstLineChars="200" w:firstLine="560"/>
        <w:rPr>
          <w:rFonts w:ascii="黑体" w:eastAsia="黑体" w:hAnsi="黑体"/>
          <w:snapToGrid w:val="0"/>
          <w:color w:val="000000"/>
          <w:sz w:val="28"/>
          <w:szCs w:val="32"/>
        </w:rPr>
      </w:pPr>
      <w:r w:rsidRPr="00284918">
        <w:rPr>
          <w:rFonts w:ascii="黑体" w:eastAsia="黑体" w:hAnsi="黑体" w:hint="eastAsia"/>
          <w:snapToGrid w:val="0"/>
          <w:color w:val="000000"/>
          <w:sz w:val="28"/>
          <w:szCs w:val="32"/>
        </w:rPr>
        <w:t>六、其他需要报告的事项</w:t>
      </w:r>
    </w:p>
    <w:p w:rsidR="00E7519C" w:rsidRPr="00B72100" w:rsidRDefault="00B72100" w:rsidP="00B72100">
      <w:pPr>
        <w:spacing w:line="540" w:lineRule="exact"/>
        <w:ind w:firstLineChars="200" w:firstLine="560"/>
        <w:rPr>
          <w:rFonts w:ascii="仿宋" w:eastAsia="仿宋" w:hAnsi="仿宋"/>
          <w:snapToGrid w:val="0"/>
          <w:color w:val="000000"/>
          <w:sz w:val="28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napToGrid w:val="0"/>
          <w:color w:val="000000"/>
          <w:sz w:val="28"/>
          <w:szCs w:val="32"/>
        </w:rPr>
        <w:t>2022</w:t>
      </w:r>
      <w:r w:rsidRPr="00B72100">
        <w:rPr>
          <w:rFonts w:ascii="仿宋" w:eastAsia="仿宋" w:hAnsi="仿宋" w:hint="eastAsia"/>
          <w:snapToGrid w:val="0"/>
          <w:color w:val="000000"/>
          <w:sz w:val="28"/>
          <w:szCs w:val="32"/>
        </w:rPr>
        <w:t>年</w:t>
      </w:r>
      <w:r>
        <w:rPr>
          <w:rFonts w:ascii="仿宋" w:eastAsia="仿宋" w:hAnsi="仿宋" w:hint="eastAsia"/>
          <w:snapToGrid w:val="0"/>
          <w:color w:val="000000"/>
          <w:sz w:val="28"/>
          <w:szCs w:val="32"/>
        </w:rPr>
        <w:t>度，</w:t>
      </w:r>
      <w:r w:rsidRPr="00B72100">
        <w:rPr>
          <w:rFonts w:ascii="仿宋" w:eastAsia="仿宋" w:hAnsi="仿宋" w:hint="eastAsia"/>
          <w:snapToGrid w:val="0"/>
          <w:color w:val="000000"/>
          <w:sz w:val="28"/>
          <w:szCs w:val="32"/>
        </w:rPr>
        <w:t>我局无涉及《政府信息公开信息处理费管理办法》中规定的收取信息处理费情况</w:t>
      </w:r>
      <w:r>
        <w:rPr>
          <w:rFonts w:ascii="仿宋" w:eastAsia="仿宋" w:hAnsi="仿宋" w:hint="eastAsia"/>
          <w:snapToGrid w:val="0"/>
          <w:color w:val="000000"/>
          <w:sz w:val="28"/>
          <w:szCs w:val="32"/>
        </w:rPr>
        <w:t>，</w:t>
      </w:r>
      <w:r w:rsidRPr="00B72100">
        <w:rPr>
          <w:rFonts w:ascii="仿宋" w:eastAsia="仿宋" w:hAnsi="仿宋" w:hint="eastAsia"/>
          <w:snapToGrid w:val="0"/>
          <w:color w:val="000000"/>
          <w:sz w:val="28"/>
          <w:szCs w:val="32"/>
        </w:rPr>
        <w:t>信息公开未收取任何费用。</w:t>
      </w:r>
    </w:p>
    <w:sectPr w:rsidR="00E7519C" w:rsidRPr="00B72100" w:rsidSect="00E75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43D" w:rsidRDefault="00BB743D" w:rsidP="00423F95">
      <w:r>
        <w:separator/>
      </w:r>
    </w:p>
  </w:endnote>
  <w:endnote w:type="continuationSeparator" w:id="0">
    <w:p w:rsidR="00BB743D" w:rsidRDefault="00BB743D" w:rsidP="00423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方正书宋_GBK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43D" w:rsidRDefault="00BB743D" w:rsidP="00423F95">
      <w:r>
        <w:separator/>
      </w:r>
    </w:p>
  </w:footnote>
  <w:footnote w:type="continuationSeparator" w:id="0">
    <w:p w:rsidR="00BB743D" w:rsidRDefault="00BB743D" w:rsidP="00423F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4B60B7"/>
    <w:rsid w:val="FD2EBFFC"/>
    <w:rsid w:val="00002ADF"/>
    <w:rsid w:val="00021DA6"/>
    <w:rsid w:val="00115124"/>
    <w:rsid w:val="00123F30"/>
    <w:rsid w:val="002229E4"/>
    <w:rsid w:val="00284918"/>
    <w:rsid w:val="00376148"/>
    <w:rsid w:val="00423F95"/>
    <w:rsid w:val="00440DD7"/>
    <w:rsid w:val="00587251"/>
    <w:rsid w:val="0059300F"/>
    <w:rsid w:val="005D0B0E"/>
    <w:rsid w:val="005E7EC5"/>
    <w:rsid w:val="006B2CED"/>
    <w:rsid w:val="007E01D8"/>
    <w:rsid w:val="007E4B9E"/>
    <w:rsid w:val="00A953D2"/>
    <w:rsid w:val="00B72100"/>
    <w:rsid w:val="00BB743D"/>
    <w:rsid w:val="00C25D94"/>
    <w:rsid w:val="00C575E7"/>
    <w:rsid w:val="00C64D68"/>
    <w:rsid w:val="00C67430"/>
    <w:rsid w:val="00C82565"/>
    <w:rsid w:val="00D47CBD"/>
    <w:rsid w:val="00E7519C"/>
    <w:rsid w:val="00FF696F"/>
    <w:rsid w:val="6BF662AB"/>
    <w:rsid w:val="754B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19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qFormat/>
    <w:rsid w:val="00E751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423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3F9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423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3F95"/>
    <w:rPr>
      <w:rFonts w:ascii="Calibri" w:eastAsia="宋体" w:hAnsi="Calibri" w:cs="Times New Roman"/>
      <w:kern w:val="2"/>
      <w:sz w:val="18"/>
      <w:szCs w:val="18"/>
    </w:rPr>
  </w:style>
  <w:style w:type="character" w:styleId="a6">
    <w:name w:val="Hyperlink"/>
    <w:rsid w:val="00423F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4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你怎么可以吃兔兔？</dc:creator>
  <cp:lastModifiedBy>Adminzwof</cp:lastModifiedBy>
  <cp:revision>11</cp:revision>
  <cp:lastPrinted>2023-01-12T00:51:00Z</cp:lastPrinted>
  <dcterms:created xsi:type="dcterms:W3CDTF">2021-11-04T17:36:00Z</dcterms:created>
  <dcterms:modified xsi:type="dcterms:W3CDTF">2023-01-17T07:42:00Z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94214A4E94094439AFF88E74C90B4161</vt:lpwstr>
  </property>
</Properties>
</file>