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95" w:rsidRDefault="00423F95" w:rsidP="00423F95">
      <w:pPr>
        <w:adjustRightInd w:val="0"/>
        <w:snapToGrid w:val="0"/>
        <w:spacing w:line="460" w:lineRule="exact"/>
        <w:jc w:val="center"/>
        <w:rPr>
          <w:rFonts w:ascii="方正小标宋_GBK" w:eastAsia="方正小标宋_GBK" w:hAnsi="Times New Roman"/>
          <w:snapToGrid w:val="0"/>
          <w:color w:val="000000"/>
          <w:sz w:val="36"/>
          <w:szCs w:val="44"/>
        </w:rPr>
      </w:pPr>
      <w:r>
        <w:rPr>
          <w:rFonts w:ascii="方正小标宋_GBK" w:eastAsia="方正小标宋_GBK" w:hAnsi="Times New Roman" w:hint="eastAsia"/>
          <w:snapToGrid w:val="0"/>
          <w:color w:val="000000"/>
          <w:sz w:val="36"/>
          <w:szCs w:val="44"/>
        </w:rPr>
        <w:t>汤原县交通运输局</w:t>
      </w:r>
    </w:p>
    <w:p w:rsidR="00E7519C" w:rsidRDefault="00423F95">
      <w:pPr>
        <w:adjustRightInd w:val="0"/>
        <w:snapToGrid w:val="0"/>
        <w:spacing w:line="460" w:lineRule="exact"/>
        <w:jc w:val="center"/>
        <w:rPr>
          <w:rFonts w:ascii="方正小标宋_GBK" w:eastAsia="方正小标宋_GBK" w:hAnsi="Times New Roman"/>
          <w:snapToGrid w:val="0"/>
          <w:color w:val="000000"/>
          <w:sz w:val="36"/>
          <w:szCs w:val="44"/>
        </w:rPr>
      </w:pPr>
      <w:r>
        <w:rPr>
          <w:rFonts w:ascii="方正小标宋_GBK" w:eastAsia="方正小标宋_GBK" w:hAnsi="Times New Roman" w:hint="eastAsia"/>
          <w:snapToGrid w:val="0"/>
          <w:color w:val="000000"/>
          <w:sz w:val="36"/>
          <w:szCs w:val="44"/>
        </w:rPr>
        <w:t>2021年政府信息公开工作年度报告</w:t>
      </w:r>
    </w:p>
    <w:p w:rsidR="00E7519C" w:rsidRDefault="00E7519C">
      <w:pPr>
        <w:adjustRightInd w:val="0"/>
        <w:snapToGrid w:val="0"/>
        <w:spacing w:line="460" w:lineRule="exact"/>
        <w:jc w:val="center"/>
        <w:rPr>
          <w:rFonts w:ascii="方正小标宋_GBK" w:eastAsia="方正小标宋_GBK" w:hAnsi="Times New Roman"/>
          <w:snapToGrid w:val="0"/>
          <w:color w:val="000000"/>
          <w:sz w:val="36"/>
          <w:szCs w:val="44"/>
        </w:rPr>
      </w:pPr>
    </w:p>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一、总体情况</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snapToGrid w:val="0"/>
          <w:color w:val="000000"/>
          <w:sz w:val="28"/>
          <w:szCs w:val="32"/>
        </w:rPr>
        <w:t>根据《中华人民共和国政府信息公开条例》、《中华人民共和国交通运输部施行</w:t>
      </w:r>
      <w:r w:rsidRPr="00423F95">
        <w:rPr>
          <w:rFonts w:ascii="Times New Roman" w:eastAsia="方正仿宋_GBK" w:hAnsi="Times New Roman"/>
          <w:snapToGrid w:val="0"/>
          <w:color w:val="000000"/>
          <w:sz w:val="28"/>
          <w:szCs w:val="32"/>
        </w:rPr>
        <w:t>&lt;</w:t>
      </w:r>
      <w:r w:rsidRPr="00423F95">
        <w:rPr>
          <w:rFonts w:ascii="Times New Roman" w:eastAsia="方正仿宋_GBK" w:hAnsi="Times New Roman"/>
          <w:snapToGrid w:val="0"/>
          <w:color w:val="000000"/>
          <w:sz w:val="28"/>
          <w:szCs w:val="32"/>
        </w:rPr>
        <w:t>政府信息公开条例</w:t>
      </w:r>
      <w:r w:rsidRPr="00423F95">
        <w:rPr>
          <w:rFonts w:ascii="Times New Roman" w:eastAsia="方正仿宋_GBK" w:hAnsi="Times New Roman"/>
          <w:snapToGrid w:val="0"/>
          <w:color w:val="000000"/>
          <w:sz w:val="28"/>
          <w:szCs w:val="32"/>
        </w:rPr>
        <w:t>&gt;</w:t>
      </w:r>
      <w:r w:rsidRPr="00423F95">
        <w:rPr>
          <w:rFonts w:ascii="Times New Roman" w:eastAsia="方正仿宋_GBK" w:hAnsi="Times New Roman"/>
          <w:snapToGrid w:val="0"/>
          <w:color w:val="000000"/>
          <w:sz w:val="28"/>
          <w:szCs w:val="32"/>
        </w:rPr>
        <w:t>办法》等规定，现特向社会公布</w:t>
      </w: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年汤原县交通运输局政府信息公开工作年度报告。</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snapToGrid w:val="0"/>
          <w:color w:val="000000"/>
          <w:sz w:val="28"/>
          <w:szCs w:val="32"/>
        </w:rPr>
        <w:t>本报告中所列数据的统计期限为</w:t>
      </w: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w:t>
      </w:r>
      <w:r w:rsidRPr="00423F95">
        <w:rPr>
          <w:rFonts w:ascii="Times New Roman" w:eastAsia="方正仿宋_GBK" w:hAnsi="Times New Roman"/>
          <w:snapToGrid w:val="0"/>
          <w:color w:val="000000"/>
          <w:sz w:val="28"/>
          <w:szCs w:val="32"/>
        </w:rPr>
        <w:t>1</w:t>
      </w:r>
      <w:r w:rsidRPr="00423F95">
        <w:rPr>
          <w:rFonts w:ascii="Times New Roman" w:eastAsia="方正仿宋_GBK" w:hAnsi="Times New Roman"/>
          <w:snapToGrid w:val="0"/>
          <w:color w:val="000000"/>
          <w:sz w:val="28"/>
          <w:szCs w:val="32"/>
        </w:rPr>
        <w:t>月</w:t>
      </w:r>
      <w:r w:rsidRPr="00423F95">
        <w:rPr>
          <w:rFonts w:ascii="Times New Roman" w:eastAsia="方正仿宋_GBK" w:hAnsi="Times New Roman"/>
          <w:snapToGrid w:val="0"/>
          <w:color w:val="000000"/>
          <w:sz w:val="28"/>
          <w:szCs w:val="32"/>
        </w:rPr>
        <w:t>1</w:t>
      </w:r>
      <w:r w:rsidRPr="00423F95">
        <w:rPr>
          <w:rFonts w:ascii="Times New Roman" w:eastAsia="方正仿宋_GBK" w:hAnsi="Times New Roman"/>
          <w:snapToGrid w:val="0"/>
          <w:color w:val="000000"/>
          <w:sz w:val="28"/>
          <w:szCs w:val="32"/>
        </w:rPr>
        <w:t>日至</w:t>
      </w:r>
      <w:r w:rsidRPr="00423F95">
        <w:rPr>
          <w:rFonts w:ascii="Times New Roman" w:eastAsia="方正仿宋_GBK" w:hAnsi="Times New Roman"/>
          <w:snapToGrid w:val="0"/>
          <w:color w:val="000000"/>
          <w:sz w:val="28"/>
          <w:szCs w:val="32"/>
        </w:rPr>
        <w:t>12</w:t>
      </w:r>
      <w:r w:rsidRPr="00423F95">
        <w:rPr>
          <w:rFonts w:ascii="Times New Roman" w:eastAsia="方正仿宋_GBK" w:hAnsi="Times New Roman"/>
          <w:snapToGrid w:val="0"/>
          <w:color w:val="000000"/>
          <w:sz w:val="28"/>
          <w:szCs w:val="32"/>
        </w:rPr>
        <w:t>月</w:t>
      </w:r>
      <w:r w:rsidRPr="00423F95">
        <w:rPr>
          <w:rFonts w:ascii="Times New Roman" w:eastAsia="方正仿宋_GBK" w:hAnsi="Times New Roman"/>
          <w:snapToGrid w:val="0"/>
          <w:color w:val="000000"/>
          <w:sz w:val="28"/>
          <w:szCs w:val="32"/>
        </w:rPr>
        <w:t>31</w:t>
      </w:r>
      <w:r w:rsidRPr="00423F95">
        <w:rPr>
          <w:rFonts w:ascii="Times New Roman" w:eastAsia="方正仿宋_GBK" w:hAnsi="Times New Roman"/>
          <w:snapToGrid w:val="0"/>
          <w:color w:val="000000"/>
          <w:sz w:val="28"/>
          <w:szCs w:val="32"/>
        </w:rPr>
        <w:t>日。如对本报告有任何疑问，请与汤原县交通运输局政府信息公开工作领导小组办公室联系（地址：汤原县</w:t>
      </w:r>
      <w:r w:rsidRPr="00423F95">
        <w:rPr>
          <w:rFonts w:ascii="Times New Roman" w:eastAsia="方正仿宋_GBK" w:hAnsi="Times New Roman" w:hint="eastAsia"/>
          <w:snapToGrid w:val="0"/>
          <w:color w:val="000000"/>
          <w:sz w:val="28"/>
          <w:szCs w:val="32"/>
        </w:rPr>
        <w:t>京抚</w:t>
      </w:r>
      <w:r w:rsidRPr="00423F95">
        <w:rPr>
          <w:rFonts w:ascii="Times New Roman" w:eastAsia="方正仿宋_GBK" w:hAnsi="Times New Roman"/>
          <w:snapToGrid w:val="0"/>
          <w:color w:val="000000"/>
          <w:sz w:val="28"/>
          <w:szCs w:val="32"/>
        </w:rPr>
        <w:t>公路中段；邮编：</w:t>
      </w:r>
      <w:r w:rsidRPr="00423F95">
        <w:rPr>
          <w:rFonts w:ascii="Times New Roman" w:eastAsia="方正仿宋_GBK" w:hAnsi="Times New Roman"/>
          <w:snapToGrid w:val="0"/>
          <w:color w:val="000000"/>
          <w:sz w:val="28"/>
          <w:szCs w:val="32"/>
        </w:rPr>
        <w:t>154700</w:t>
      </w:r>
      <w:r w:rsidRPr="00423F95">
        <w:rPr>
          <w:rFonts w:ascii="Times New Roman" w:eastAsia="方正仿宋_GBK" w:hAnsi="Times New Roman"/>
          <w:snapToGrid w:val="0"/>
          <w:color w:val="000000"/>
          <w:sz w:val="28"/>
          <w:szCs w:val="32"/>
        </w:rPr>
        <w:t>；电话</w:t>
      </w:r>
      <w:r w:rsidRPr="00423F95">
        <w:rPr>
          <w:rFonts w:ascii="Times New Roman" w:eastAsia="方正仿宋_GBK" w:hAnsi="Times New Roman"/>
          <w:snapToGrid w:val="0"/>
          <w:color w:val="000000"/>
          <w:sz w:val="28"/>
          <w:szCs w:val="32"/>
        </w:rPr>
        <w:t xml:space="preserve"> </w:t>
      </w:r>
      <w:r w:rsidRPr="00423F95">
        <w:rPr>
          <w:rFonts w:ascii="Times New Roman" w:eastAsia="方正仿宋_GBK" w:hAnsi="Times New Roman"/>
          <w:snapToGrid w:val="0"/>
          <w:color w:val="000000"/>
          <w:sz w:val="28"/>
          <w:szCs w:val="32"/>
        </w:rPr>
        <w:t>：</w:t>
      </w:r>
      <w:r w:rsidRPr="00423F95">
        <w:rPr>
          <w:rFonts w:ascii="Times New Roman" w:eastAsia="方正仿宋_GBK" w:hAnsi="Times New Roman"/>
          <w:snapToGrid w:val="0"/>
          <w:color w:val="000000"/>
          <w:sz w:val="28"/>
          <w:szCs w:val="32"/>
        </w:rPr>
        <w:t>0454-7652223</w:t>
      </w:r>
      <w:r w:rsidRPr="00423F95">
        <w:rPr>
          <w:rFonts w:ascii="Times New Roman" w:eastAsia="方正仿宋_GBK" w:hAnsi="Times New Roman"/>
          <w:snapToGrid w:val="0"/>
          <w:color w:val="000000"/>
          <w:sz w:val="28"/>
          <w:szCs w:val="32"/>
        </w:rPr>
        <w:t>；邮箱：</w:t>
      </w:r>
      <w:r w:rsidRPr="00423F95">
        <w:rPr>
          <w:rFonts w:ascii="Times New Roman" w:eastAsia="方正仿宋_GBK" w:hAnsi="Times New Roman"/>
          <w:snapToGrid w:val="0"/>
          <w:color w:val="000000"/>
          <w:sz w:val="28"/>
        </w:rPr>
        <w:t>tyxjtj@163.com</w:t>
      </w:r>
      <w:r w:rsidRPr="00423F95">
        <w:rPr>
          <w:rFonts w:ascii="Times New Roman" w:eastAsia="方正仿宋_GBK" w:hAnsi="Times New Roman"/>
          <w:snapToGrid w:val="0"/>
          <w:color w:val="000000"/>
          <w:sz w:val="28"/>
          <w:szCs w:val="32"/>
        </w:rPr>
        <w:t>）。</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我局政府信息公开工作按照县委、县政府相关部署和要求，认真贯彻落实《政府信息公开条例》等法律法规和有关文件精神，把政府信息公开工作作为加强机关效能、政风行风建设和党风廉政建设的重要举措，促进依法行政、廉洁行政的有力保障，积极拓展政府信息公开渠道，不断增强工作透明度，切实保障群众依法、及时、准确获得交通运输相关信息的权利，收到了良好的社会效果。</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b/>
          <w:snapToGrid w:val="0"/>
          <w:color w:val="000000"/>
          <w:sz w:val="28"/>
          <w:szCs w:val="32"/>
        </w:rPr>
        <w:t>（一）提高认识，统一思想。</w:t>
      </w:r>
      <w:r w:rsidRPr="00423F95">
        <w:rPr>
          <w:rFonts w:ascii="Times New Roman" w:eastAsia="方正仿宋_GBK" w:hAnsi="Times New Roman"/>
          <w:snapToGrid w:val="0"/>
          <w:color w:val="000000"/>
          <w:sz w:val="28"/>
          <w:szCs w:val="32"/>
        </w:rPr>
        <w:t>我局高度重视政府信息公开工作，不断强化</w:t>
      </w:r>
      <w:r w:rsidRPr="00423F95">
        <w:rPr>
          <w:rFonts w:ascii="Times New Roman" w:eastAsia="方正仿宋_GBK" w:hAnsi="Times New Roman" w:hint="eastAsia"/>
          <w:snapToGrid w:val="0"/>
          <w:color w:val="000000"/>
          <w:sz w:val="28"/>
          <w:szCs w:val="32"/>
        </w:rPr>
        <w:t>干部职工政府信息公开知识</w:t>
      </w:r>
      <w:r w:rsidRPr="00423F95">
        <w:rPr>
          <w:rFonts w:ascii="Times New Roman" w:eastAsia="方正仿宋_GBK" w:hAnsi="Times New Roman"/>
          <w:snapToGrid w:val="0"/>
          <w:color w:val="000000"/>
          <w:sz w:val="28"/>
          <w:szCs w:val="32"/>
        </w:rPr>
        <w:t>教育培训，通过学习讨论等方式，逐步提高全局工作人员对开展政府信息公开工作重要性的认识，进一步统一思想，增强责任感。在</w:t>
      </w: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年交通</w:t>
      </w:r>
      <w:r w:rsidRPr="00423F95">
        <w:rPr>
          <w:rFonts w:ascii="Times New Roman" w:eastAsia="方正仿宋_GBK" w:hAnsi="Times New Roman" w:hint="eastAsia"/>
          <w:snapToGrid w:val="0"/>
          <w:color w:val="000000"/>
          <w:sz w:val="28"/>
          <w:szCs w:val="32"/>
        </w:rPr>
        <w:t>运输</w:t>
      </w:r>
      <w:r w:rsidRPr="00423F95">
        <w:rPr>
          <w:rFonts w:ascii="Times New Roman" w:eastAsia="方正仿宋_GBK" w:hAnsi="Times New Roman"/>
          <w:snapToGrid w:val="0"/>
          <w:color w:val="000000"/>
          <w:sz w:val="28"/>
          <w:szCs w:val="32"/>
        </w:rPr>
        <w:t>工作</w:t>
      </w:r>
      <w:r w:rsidRPr="00423F95">
        <w:rPr>
          <w:rFonts w:ascii="Times New Roman" w:eastAsia="方正仿宋_GBK" w:hAnsi="Times New Roman" w:hint="eastAsia"/>
          <w:snapToGrid w:val="0"/>
          <w:color w:val="000000"/>
          <w:sz w:val="28"/>
          <w:szCs w:val="32"/>
        </w:rPr>
        <w:t>中</w:t>
      </w:r>
      <w:r w:rsidRPr="00423F95">
        <w:rPr>
          <w:rFonts w:ascii="Times New Roman" w:eastAsia="方正仿宋_GBK" w:hAnsi="Times New Roman"/>
          <w:snapToGrid w:val="0"/>
          <w:color w:val="000000"/>
          <w:sz w:val="28"/>
          <w:szCs w:val="32"/>
        </w:rPr>
        <w:t>统筹安排，积极、有序、稳妥地推进政府信息公开工作，有力地推动了我</w:t>
      </w:r>
      <w:r w:rsidRPr="00423F95">
        <w:rPr>
          <w:rFonts w:ascii="Times New Roman" w:eastAsia="方正仿宋_GBK" w:hAnsi="Times New Roman" w:hint="eastAsia"/>
          <w:snapToGrid w:val="0"/>
          <w:color w:val="000000"/>
          <w:sz w:val="28"/>
          <w:szCs w:val="32"/>
        </w:rPr>
        <w:t>县</w:t>
      </w:r>
      <w:r w:rsidRPr="00423F95">
        <w:rPr>
          <w:rFonts w:ascii="Times New Roman" w:eastAsia="方正仿宋_GBK" w:hAnsi="Times New Roman"/>
          <w:snapToGrid w:val="0"/>
          <w:color w:val="000000"/>
          <w:sz w:val="28"/>
          <w:szCs w:val="32"/>
        </w:rPr>
        <w:t>交通</w:t>
      </w:r>
      <w:r w:rsidRPr="00423F95">
        <w:rPr>
          <w:rFonts w:ascii="Times New Roman" w:eastAsia="方正仿宋_GBK" w:hAnsi="Times New Roman" w:hint="eastAsia"/>
          <w:snapToGrid w:val="0"/>
          <w:color w:val="000000"/>
          <w:sz w:val="28"/>
          <w:szCs w:val="32"/>
        </w:rPr>
        <w:t>运输</w:t>
      </w:r>
      <w:r w:rsidRPr="00423F95">
        <w:rPr>
          <w:rFonts w:ascii="Times New Roman" w:eastAsia="方正仿宋_GBK" w:hAnsi="Times New Roman"/>
          <w:snapToGrid w:val="0"/>
          <w:color w:val="000000"/>
          <w:sz w:val="28"/>
          <w:szCs w:val="32"/>
        </w:rPr>
        <w:t>各项工作的</w:t>
      </w:r>
      <w:r w:rsidRPr="00423F95">
        <w:rPr>
          <w:rFonts w:ascii="Times New Roman" w:eastAsia="方正仿宋_GBK" w:hAnsi="Times New Roman" w:hint="eastAsia"/>
          <w:snapToGrid w:val="0"/>
          <w:color w:val="000000"/>
          <w:sz w:val="28"/>
          <w:szCs w:val="32"/>
        </w:rPr>
        <w:t>高质量</w:t>
      </w:r>
      <w:r w:rsidRPr="00423F95">
        <w:rPr>
          <w:rFonts w:ascii="Times New Roman" w:eastAsia="方正仿宋_GBK" w:hAnsi="Times New Roman"/>
          <w:snapToGrid w:val="0"/>
          <w:color w:val="000000"/>
          <w:sz w:val="28"/>
          <w:szCs w:val="32"/>
        </w:rPr>
        <w:t>发展。</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b/>
          <w:snapToGrid w:val="0"/>
          <w:color w:val="000000"/>
          <w:sz w:val="28"/>
          <w:szCs w:val="32"/>
        </w:rPr>
        <w:lastRenderedPageBreak/>
        <w:t>（二）建立机构，完善机制。</w:t>
      </w:r>
      <w:r w:rsidRPr="00423F95">
        <w:rPr>
          <w:rFonts w:ascii="Times New Roman" w:eastAsia="方正仿宋_GBK" w:hAnsi="Times New Roman"/>
          <w:snapToGrid w:val="0"/>
          <w:color w:val="000000"/>
          <w:sz w:val="28"/>
          <w:szCs w:val="32"/>
        </w:rPr>
        <w:t>成立了以局党</w:t>
      </w:r>
      <w:r w:rsidRPr="00423F95">
        <w:rPr>
          <w:rFonts w:ascii="Times New Roman" w:eastAsia="方正仿宋_GBK" w:hAnsi="Times New Roman" w:hint="eastAsia"/>
          <w:snapToGrid w:val="0"/>
          <w:color w:val="000000"/>
          <w:sz w:val="28"/>
          <w:szCs w:val="32"/>
        </w:rPr>
        <w:t>组</w:t>
      </w:r>
      <w:r w:rsidRPr="00423F95">
        <w:rPr>
          <w:rFonts w:ascii="Times New Roman" w:eastAsia="方正仿宋_GBK" w:hAnsi="Times New Roman"/>
          <w:snapToGrid w:val="0"/>
          <w:color w:val="000000"/>
          <w:sz w:val="28"/>
          <w:szCs w:val="32"/>
        </w:rPr>
        <w:t>书记、局长为组长，分管</w:t>
      </w:r>
      <w:r w:rsidRPr="00423F95">
        <w:rPr>
          <w:rFonts w:ascii="Times New Roman" w:eastAsia="方正仿宋_GBK" w:hAnsi="Times New Roman" w:hint="eastAsia"/>
          <w:snapToGrid w:val="0"/>
          <w:color w:val="000000"/>
          <w:sz w:val="28"/>
          <w:szCs w:val="32"/>
        </w:rPr>
        <w:t>副局长</w:t>
      </w:r>
      <w:r w:rsidRPr="00423F95">
        <w:rPr>
          <w:rFonts w:ascii="Times New Roman" w:eastAsia="方正仿宋_GBK" w:hAnsi="Times New Roman"/>
          <w:snapToGrid w:val="0"/>
          <w:color w:val="000000"/>
          <w:sz w:val="28"/>
          <w:szCs w:val="32"/>
        </w:rPr>
        <w:t>为常务副组长，班子成员为副组长，各股室、局属各基层单位负责人为成员的政府信息公开工作领导小组。研究、协调</w:t>
      </w:r>
      <w:r w:rsidRPr="00423F95">
        <w:rPr>
          <w:rFonts w:ascii="Times New Roman" w:eastAsia="方正仿宋_GBK" w:hAnsi="Times New Roman" w:hint="eastAsia"/>
          <w:snapToGrid w:val="0"/>
          <w:color w:val="000000"/>
          <w:sz w:val="28"/>
          <w:szCs w:val="32"/>
        </w:rPr>
        <w:t>、</w:t>
      </w:r>
      <w:r w:rsidRPr="00423F95">
        <w:rPr>
          <w:rFonts w:ascii="Times New Roman" w:eastAsia="方正仿宋_GBK" w:hAnsi="Times New Roman"/>
          <w:snapToGrid w:val="0"/>
          <w:color w:val="000000"/>
          <w:sz w:val="28"/>
          <w:szCs w:val="32"/>
        </w:rPr>
        <w:t>推进政府信息公开过程中的重要问题，局办公室具体负责政府信息公开日常工作的组织协调和资料整理。各股室、局属各单位设立政务公开联络员，负责资料整理、统计汇总等具体日常工作。建立由主要领导总体抓，分管领导亲自抓，股室负责人具体抓的工作机制，</w:t>
      </w:r>
      <w:r w:rsidRPr="00423F95">
        <w:rPr>
          <w:rFonts w:ascii="Times New Roman" w:eastAsia="方正仿宋_GBK" w:hAnsi="Times New Roman" w:hint="eastAsia"/>
          <w:snapToGrid w:val="0"/>
          <w:color w:val="000000"/>
          <w:sz w:val="28"/>
          <w:szCs w:val="32"/>
        </w:rPr>
        <w:t>做到</w:t>
      </w:r>
      <w:r w:rsidRPr="00423F95">
        <w:rPr>
          <w:rFonts w:ascii="Times New Roman" w:eastAsia="方正仿宋_GBK" w:hAnsi="Times New Roman"/>
          <w:snapToGrid w:val="0"/>
          <w:color w:val="000000"/>
          <w:sz w:val="28"/>
          <w:szCs w:val="32"/>
        </w:rPr>
        <w:t>明确分工，责任到人。</w:t>
      </w:r>
    </w:p>
    <w:p w:rsidR="00423F95" w:rsidRPr="00423F95" w:rsidRDefault="00423F95" w:rsidP="00423F95">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b/>
          <w:snapToGrid w:val="0"/>
          <w:color w:val="000000"/>
          <w:sz w:val="28"/>
          <w:szCs w:val="32"/>
        </w:rPr>
        <w:t>（三）加强监督，严格考核。</w:t>
      </w: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我局将政府信息公开工作纳入年度考核范围，对各股室及局属各基层单位的政府信息公开工作开展情况和各项任务的完成情况实行不定期检查，主要包括应主动公开的信息、依申请应该答复的信息、操作中存在的问题等，通过平时检查督查，及时发现问题，研究整改。</w:t>
      </w:r>
    </w:p>
    <w:p w:rsidR="00423F95" w:rsidRDefault="00423F95" w:rsidP="0059300F">
      <w:pPr>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b/>
          <w:snapToGrid w:val="0"/>
          <w:color w:val="000000"/>
          <w:sz w:val="28"/>
          <w:szCs w:val="32"/>
        </w:rPr>
        <w:t>（四）创新方式，拓展途径。</w:t>
      </w:r>
      <w:r w:rsidRPr="00423F95">
        <w:rPr>
          <w:rFonts w:ascii="Times New Roman" w:eastAsia="方正仿宋_GBK" w:hAnsi="Times New Roman"/>
          <w:snapToGrid w:val="0"/>
          <w:color w:val="000000"/>
          <w:sz w:val="28"/>
          <w:szCs w:val="32"/>
        </w:rPr>
        <w:t>一是按照县委、县政府要求，及时对工程建设、行业管理等重点领域政府信息进行公开；对我局制发的</w:t>
      </w:r>
      <w:r w:rsidRPr="00423F95">
        <w:rPr>
          <w:rFonts w:ascii="Times New Roman" w:eastAsia="方正仿宋_GBK" w:hAnsi="Times New Roman" w:hint="eastAsia"/>
          <w:snapToGrid w:val="0"/>
          <w:color w:val="000000"/>
          <w:sz w:val="28"/>
          <w:szCs w:val="32"/>
        </w:rPr>
        <w:t>各类方案通知</w:t>
      </w:r>
      <w:r w:rsidRPr="00423F95">
        <w:rPr>
          <w:rFonts w:ascii="Times New Roman" w:eastAsia="方正仿宋_GBK" w:hAnsi="Times New Roman"/>
          <w:snapToGrid w:val="0"/>
          <w:color w:val="000000"/>
          <w:sz w:val="28"/>
          <w:szCs w:val="32"/>
        </w:rPr>
        <w:t>及规范性文件及时公开并做好政策解读工作；及时公开我局相关业务的公告公示、工作动态、办事指南等。二是在</w:t>
      </w:r>
      <w:r w:rsidRPr="00423F95">
        <w:rPr>
          <w:rFonts w:ascii="Times New Roman" w:eastAsia="方正仿宋_GBK" w:hAnsi="Times New Roman" w:hint="eastAsia"/>
          <w:snapToGrid w:val="0"/>
          <w:color w:val="000000"/>
          <w:sz w:val="28"/>
          <w:szCs w:val="32"/>
        </w:rPr>
        <w:t>行政中心业务办事</w:t>
      </w:r>
      <w:r w:rsidRPr="00423F95">
        <w:rPr>
          <w:rFonts w:ascii="Times New Roman" w:eastAsia="方正仿宋_GBK" w:hAnsi="Times New Roman"/>
          <w:snapToGrid w:val="0"/>
          <w:color w:val="000000"/>
          <w:sz w:val="28"/>
          <w:szCs w:val="32"/>
        </w:rPr>
        <w:t>窗口处公开。将办理出租车、客货运输车辆办理依据、办理程序、办理时限等相关内容逐一张贴公示，方便</w:t>
      </w:r>
      <w:r w:rsidRPr="00423F95">
        <w:rPr>
          <w:rFonts w:ascii="Times New Roman" w:eastAsia="方正仿宋_GBK" w:hAnsi="Times New Roman" w:hint="eastAsia"/>
          <w:snapToGrid w:val="0"/>
          <w:color w:val="000000"/>
          <w:sz w:val="28"/>
          <w:szCs w:val="32"/>
        </w:rPr>
        <w:t>群众</w:t>
      </w:r>
      <w:r w:rsidRPr="00423F95">
        <w:rPr>
          <w:rFonts w:ascii="Times New Roman" w:eastAsia="方正仿宋_GBK" w:hAnsi="Times New Roman"/>
          <w:snapToGrid w:val="0"/>
          <w:color w:val="000000"/>
          <w:sz w:val="28"/>
          <w:szCs w:val="32"/>
        </w:rPr>
        <w:t>了解办理流程和所需材料。</w:t>
      </w:r>
    </w:p>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二、主动公开政府信息情况</w:t>
      </w:r>
    </w:p>
    <w:tbl>
      <w:tblPr>
        <w:tblW w:w="9072" w:type="dxa"/>
        <w:jc w:val="center"/>
        <w:tblLayout w:type="fixed"/>
        <w:tblCellMar>
          <w:top w:w="28" w:type="dxa"/>
          <w:left w:w="28" w:type="dxa"/>
          <w:bottom w:w="28" w:type="dxa"/>
          <w:right w:w="28" w:type="dxa"/>
        </w:tblCellMar>
        <w:tblLook w:val="04A0"/>
      </w:tblPr>
      <w:tblGrid>
        <w:gridCol w:w="2268"/>
        <w:gridCol w:w="2268"/>
        <w:gridCol w:w="2268"/>
        <w:gridCol w:w="2268"/>
      </w:tblGrid>
      <w:tr w:rsidR="00E7519C">
        <w:trPr>
          <w:trHeight w:val="397"/>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5B9BD5" w:themeColor="accent1"/>
                <w:kern w:val="0"/>
                <w:szCs w:val="21"/>
              </w:rPr>
            </w:pPr>
            <w:r>
              <w:rPr>
                <w:rFonts w:ascii="方正黑体_GBK" w:eastAsia="方正黑体_GBK" w:hAnsi="Times New Roman" w:hint="eastAsia"/>
                <w:color w:val="000000"/>
                <w:kern w:val="0"/>
                <w:szCs w:val="21"/>
              </w:rPr>
              <w:t>第二十条第（一）项</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信息内容</w:t>
            </w:r>
          </w:p>
        </w:tc>
        <w:tc>
          <w:tcPr>
            <w:tcW w:w="243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本年制发件数</w:t>
            </w:r>
          </w:p>
        </w:tc>
        <w:tc>
          <w:tcPr>
            <w:tcW w:w="243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本年废止件数</w:t>
            </w:r>
          </w:p>
        </w:tc>
        <w:tc>
          <w:tcPr>
            <w:tcW w:w="243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现行有效件数</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lastRenderedPageBreak/>
              <w:t>规章</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Times New Roman" w:eastAsia="方正书宋_GBK" w:hAnsi="Times New Roman" w:hint="eastAsia"/>
                <w:color w:val="000000"/>
                <w:kern w:val="0"/>
                <w:szCs w:val="21"/>
              </w:rPr>
              <w:t>0</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行政规范性文件</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243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Times New Roman" w:eastAsia="方正书宋_GBK" w:hAnsi="Times New Roman" w:hint="eastAsia"/>
                <w:color w:val="000000"/>
                <w:kern w:val="0"/>
                <w:szCs w:val="21"/>
              </w:rPr>
              <w:t>0</w:t>
            </w:r>
          </w:p>
        </w:tc>
      </w:tr>
      <w:tr w:rsidR="00E7519C">
        <w:trPr>
          <w:trHeight w:val="397"/>
          <w:jc w:val="center"/>
        </w:trPr>
        <w:tc>
          <w:tcPr>
            <w:tcW w:w="9740" w:type="dxa"/>
            <w:gridSpan w:val="4"/>
            <w:tcBorders>
              <w:top w:val="nil"/>
              <w:left w:val="single" w:sz="8" w:space="0" w:color="auto"/>
              <w:bottom w:val="single" w:sz="8" w:space="0" w:color="auto"/>
              <w:right w:val="single" w:sz="8" w:space="0" w:color="auto"/>
            </w:tcBorders>
            <w:shd w:val="clear" w:color="auto" w:fill="B4C6E7" w:themeFill="accent5" w:themeFillTint="66"/>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第二十条第（五）项</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信息内容</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本年处理决定数量</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行政许可</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Times New Roman" w:eastAsia="方正书宋_GBK" w:hAnsi="Times New Roman" w:hint="eastAsia"/>
                <w:color w:val="000000"/>
                <w:kern w:val="0"/>
                <w:szCs w:val="21"/>
              </w:rPr>
              <w:t>203</w:t>
            </w:r>
          </w:p>
        </w:tc>
      </w:tr>
      <w:tr w:rsidR="00E7519C">
        <w:trPr>
          <w:trHeight w:val="397"/>
          <w:jc w:val="center"/>
        </w:trPr>
        <w:tc>
          <w:tcPr>
            <w:tcW w:w="9740" w:type="dxa"/>
            <w:gridSpan w:val="4"/>
            <w:tcBorders>
              <w:top w:val="nil"/>
              <w:left w:val="single" w:sz="8" w:space="0" w:color="auto"/>
              <w:bottom w:val="single" w:sz="8" w:space="0" w:color="auto"/>
              <w:right w:val="single" w:sz="8" w:space="0" w:color="auto"/>
            </w:tcBorders>
            <w:shd w:val="clear" w:color="auto" w:fill="B4C6E7" w:themeFill="accent5" w:themeFillTint="66"/>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第二十条第（六）项</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信息内容</w:t>
            </w:r>
          </w:p>
        </w:tc>
        <w:tc>
          <w:tcPr>
            <w:tcW w:w="7305" w:type="dxa"/>
            <w:gridSpan w:val="3"/>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本年处理决定数量</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行政处罚</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433</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行政强制</w:t>
            </w:r>
          </w:p>
        </w:tc>
        <w:tc>
          <w:tcPr>
            <w:tcW w:w="7305" w:type="dxa"/>
            <w:gridSpan w:val="3"/>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397"/>
          <w:jc w:val="center"/>
        </w:trPr>
        <w:tc>
          <w:tcPr>
            <w:tcW w:w="9740" w:type="dxa"/>
            <w:gridSpan w:val="4"/>
            <w:tcBorders>
              <w:top w:val="nil"/>
              <w:left w:val="single" w:sz="8" w:space="0" w:color="auto"/>
              <w:bottom w:val="single" w:sz="8" w:space="0" w:color="auto"/>
              <w:right w:val="single" w:sz="8" w:space="0" w:color="auto"/>
            </w:tcBorders>
            <w:shd w:val="clear" w:color="auto" w:fill="B4C6E7" w:themeFill="accent5" w:themeFillTint="66"/>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第二十条第（八）项</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信息内容</w:t>
            </w:r>
          </w:p>
        </w:tc>
        <w:tc>
          <w:tcPr>
            <w:tcW w:w="7305"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E7519C" w:rsidRDefault="00021DA6"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本年收费金额（单位：万元）</w:t>
            </w:r>
          </w:p>
        </w:tc>
      </w:tr>
      <w:tr w:rsidR="00E7519C">
        <w:trPr>
          <w:trHeight w:val="397"/>
          <w:jc w:val="center"/>
        </w:trPr>
        <w:tc>
          <w:tcPr>
            <w:tcW w:w="2435"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行政事业性收费</w:t>
            </w:r>
          </w:p>
        </w:tc>
        <w:tc>
          <w:tcPr>
            <w:tcW w:w="7305" w:type="dxa"/>
            <w:gridSpan w:val="3"/>
            <w:tcBorders>
              <w:top w:val="nil"/>
              <w:left w:val="nil"/>
              <w:bottom w:val="single" w:sz="8" w:space="0" w:color="auto"/>
              <w:right w:val="single" w:sz="8" w:space="0" w:color="000000"/>
            </w:tcBorders>
            <w:shd w:val="clear" w:color="auto" w:fill="auto"/>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bl>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三、收到和处理政府信息公开申请情况</w:t>
      </w:r>
    </w:p>
    <w:tbl>
      <w:tblPr>
        <w:tblW w:w="9072" w:type="dxa"/>
        <w:jc w:val="center"/>
        <w:tblLayout w:type="fixed"/>
        <w:tblCellMar>
          <w:top w:w="28" w:type="dxa"/>
          <w:left w:w="28" w:type="dxa"/>
          <w:bottom w:w="28" w:type="dxa"/>
          <w:right w:w="28" w:type="dxa"/>
        </w:tblCellMar>
        <w:tblLook w:val="04A0"/>
      </w:tblPr>
      <w:tblGrid>
        <w:gridCol w:w="869"/>
        <w:gridCol w:w="1106"/>
        <w:gridCol w:w="2744"/>
        <w:gridCol w:w="854"/>
        <w:gridCol w:w="643"/>
        <w:gridCol w:w="714"/>
        <w:gridCol w:w="658"/>
        <w:gridCol w:w="616"/>
        <w:gridCol w:w="420"/>
        <w:gridCol w:w="448"/>
      </w:tblGrid>
      <w:tr w:rsidR="00E7519C">
        <w:trPr>
          <w:trHeight w:val="397"/>
          <w:tblHeader/>
          <w:jc w:val="center"/>
        </w:trPr>
        <w:tc>
          <w:tcPr>
            <w:tcW w:w="471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7519C" w:rsidRDefault="00021DA6">
            <w:pPr>
              <w:adjustRightInd w:val="0"/>
              <w:snapToGrid w:val="0"/>
              <w:spacing w:line="280" w:lineRule="exact"/>
              <w:jc w:val="left"/>
              <w:rPr>
                <w:rFonts w:ascii="方正黑体_GBK" w:eastAsia="方正黑体_GBK" w:hAnsi="Times New Roman"/>
                <w:color w:val="000000"/>
                <w:kern w:val="0"/>
                <w:szCs w:val="21"/>
              </w:rPr>
            </w:pPr>
            <w:r>
              <w:rPr>
                <w:rFonts w:ascii="仿宋" w:eastAsia="仿宋" w:hAnsi="仿宋" w:cs="仿宋" w:hint="eastAsia"/>
                <w:color w:val="000000"/>
                <w:kern w:val="0"/>
                <w:szCs w:val="21"/>
              </w:rPr>
              <w:t>（本列数据的勾稽关系为：第一项加第二项之和，等于第三项加第四项之和）</w:t>
            </w:r>
          </w:p>
        </w:tc>
        <w:tc>
          <w:tcPr>
            <w:tcW w:w="4353"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申请人情况</w:t>
            </w:r>
          </w:p>
        </w:tc>
      </w:tr>
      <w:tr w:rsidR="00E7519C">
        <w:trPr>
          <w:trHeight w:val="397"/>
          <w:tblHeader/>
          <w:jc w:val="center"/>
        </w:trPr>
        <w:tc>
          <w:tcPr>
            <w:tcW w:w="4719" w:type="dxa"/>
            <w:gridSpan w:val="3"/>
            <w:vMerge/>
            <w:tcBorders>
              <w:top w:val="single" w:sz="8" w:space="0" w:color="auto"/>
              <w:left w:val="single" w:sz="8" w:space="0" w:color="auto"/>
              <w:bottom w:val="inset" w:sz="8" w:space="0" w:color="auto"/>
              <w:right w:val="single" w:sz="8" w:space="0" w:color="auto"/>
            </w:tcBorders>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854" w:type="dxa"/>
            <w:vMerge w:val="restart"/>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自然人</w:t>
            </w:r>
          </w:p>
        </w:tc>
        <w:tc>
          <w:tcPr>
            <w:tcW w:w="3051" w:type="dxa"/>
            <w:gridSpan w:val="5"/>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法人或其他组织</w:t>
            </w:r>
          </w:p>
        </w:tc>
        <w:tc>
          <w:tcPr>
            <w:tcW w:w="448" w:type="dxa"/>
            <w:vMerge w:val="restart"/>
            <w:tcBorders>
              <w:top w:val="single"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总计</w:t>
            </w:r>
          </w:p>
        </w:tc>
      </w:tr>
      <w:tr w:rsidR="00E7519C">
        <w:trPr>
          <w:trHeight w:val="397"/>
          <w:tblHeader/>
          <w:jc w:val="center"/>
        </w:trPr>
        <w:tc>
          <w:tcPr>
            <w:tcW w:w="4719" w:type="dxa"/>
            <w:gridSpan w:val="3"/>
            <w:vMerge/>
            <w:tcBorders>
              <w:top w:val="single" w:sz="8" w:space="0" w:color="auto"/>
              <w:left w:val="single" w:sz="8" w:space="0" w:color="auto"/>
              <w:bottom w:val="inset" w:sz="8" w:space="0" w:color="auto"/>
              <w:right w:val="single" w:sz="8" w:space="0" w:color="auto"/>
            </w:tcBorders>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854" w:type="dxa"/>
            <w:vMerge/>
            <w:tcBorders>
              <w:top w:val="single" w:sz="0" w:space="0" w:color="auto"/>
              <w:left w:val="single" w:sz="0" w:space="0" w:color="auto"/>
              <w:bottom w:val="single" w:sz="8" w:space="0" w:color="auto"/>
              <w:right w:val="single" w:sz="8" w:space="0" w:color="auto"/>
            </w:tcBorders>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43"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商业</w:t>
            </w:r>
          </w:p>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企业</w:t>
            </w:r>
          </w:p>
        </w:tc>
        <w:tc>
          <w:tcPr>
            <w:tcW w:w="714"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科研</w:t>
            </w:r>
          </w:p>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机构</w:t>
            </w:r>
          </w:p>
        </w:tc>
        <w:tc>
          <w:tcPr>
            <w:tcW w:w="658"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社会公益组织</w:t>
            </w:r>
          </w:p>
        </w:tc>
        <w:tc>
          <w:tcPr>
            <w:tcW w:w="616"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法律服务机构</w:t>
            </w:r>
          </w:p>
        </w:tc>
        <w:tc>
          <w:tcPr>
            <w:tcW w:w="420"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其他</w:t>
            </w:r>
          </w:p>
        </w:tc>
        <w:tc>
          <w:tcPr>
            <w:tcW w:w="448" w:type="dxa"/>
            <w:vMerge/>
            <w:tcBorders>
              <w:top w:val="single" w:sz="8"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r>
      <w:tr w:rsidR="00E7519C">
        <w:trPr>
          <w:trHeight w:val="397"/>
          <w:jc w:val="center"/>
        </w:trPr>
        <w:tc>
          <w:tcPr>
            <w:tcW w:w="4719" w:type="dxa"/>
            <w:gridSpan w:val="3"/>
            <w:tcBorders>
              <w:top w:val="nil"/>
              <w:left w:val="single" w:sz="8" w:space="0" w:color="auto"/>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一、本年新收政府信息公开申请数量</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397"/>
          <w:jc w:val="center"/>
        </w:trPr>
        <w:tc>
          <w:tcPr>
            <w:tcW w:w="4719" w:type="dxa"/>
            <w:gridSpan w:val="3"/>
            <w:tcBorders>
              <w:top w:val="nil"/>
              <w:left w:val="single" w:sz="8" w:space="0" w:color="auto"/>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二、上年结转政府信息公开申请数量</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397"/>
          <w:jc w:val="center"/>
        </w:trPr>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三、本年度办理结果</w:t>
            </w:r>
          </w:p>
        </w:tc>
        <w:tc>
          <w:tcPr>
            <w:tcW w:w="3850" w:type="dxa"/>
            <w:gridSpan w:val="2"/>
            <w:tcBorders>
              <w:top w:val="nil"/>
              <w:left w:val="single" w:sz="4" w:space="0" w:color="auto"/>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（一）予以公开</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397"/>
          <w:jc w:val="center"/>
        </w:trPr>
        <w:tc>
          <w:tcPr>
            <w:tcW w:w="8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3850" w:type="dxa"/>
            <w:gridSpan w:val="2"/>
            <w:tcBorders>
              <w:top w:val="nil"/>
              <w:left w:val="single" w:sz="4" w:space="0" w:color="auto"/>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（二）部分公开</w:t>
            </w:r>
            <w:r>
              <w:rPr>
                <w:rFonts w:ascii="仿宋" w:eastAsia="仿宋" w:hAnsi="仿宋" w:cs="仿宋" w:hint="eastAsia"/>
                <w:color w:val="000000"/>
                <w:kern w:val="0"/>
                <w:szCs w:val="21"/>
              </w:rPr>
              <w:t>（区分处理的，只计这一情形，不计其他情形）</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val="restart"/>
            <w:tcBorders>
              <w:top w:val="single" w:sz="4" w:space="0" w:color="auto"/>
              <w:left w:val="single" w:sz="8" w:space="0" w:color="auto"/>
              <w:right w:val="single" w:sz="8" w:space="0" w:color="auto"/>
            </w:tcBorders>
            <w:shd w:val="clear" w:color="auto" w:fill="auto"/>
            <w:vAlign w:val="center"/>
          </w:tcPr>
          <w:p w:rsidR="00E7519C" w:rsidRDefault="00021DA6">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三、本年度办理结果</w:t>
            </w:r>
          </w:p>
        </w:tc>
        <w:tc>
          <w:tcPr>
            <w:tcW w:w="1106"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（三）不予公开</w:t>
            </w: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1.属于国家秘密</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2.其他法律行政法规禁止公开</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3.危及“三安全一稳定”</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4.保护第三方合法权益</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5.属于三类内部事务信息</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6.属于四类过程性信息</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7.属于行政执法案卷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8.属于行政查询事项</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（四）无法提供</w:t>
            </w: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1.本机关不掌握相关政府信息</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2.没有现成信息需要另行制作</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3.补正后申请内容仍不明确</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（五）不予处理</w:t>
            </w: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1.信访举报投诉类申请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2.重复申请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3.要求提供公开出版物</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4.无正当理由大量反复申请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tcBorders>
              <w:top w:val="single" w:sz="0"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5.要求行政机关确认或重新出具已获取信息</w:t>
            </w:r>
          </w:p>
        </w:tc>
        <w:tc>
          <w:tcPr>
            <w:tcW w:w="854"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jc w:val="center"/>
              <w:rPr>
                <w:rFonts w:ascii="方正书宋_GBK" w:eastAsia="方正书宋_GBK" w:hAnsi="Times New Roman"/>
                <w:color w:val="000000"/>
                <w:kern w:val="0"/>
                <w:szCs w:val="21"/>
              </w:rPr>
            </w:pPr>
          </w:p>
        </w:tc>
        <w:tc>
          <w:tcPr>
            <w:tcW w:w="1106" w:type="dxa"/>
            <w:vMerge w:val="restart"/>
            <w:tcBorders>
              <w:top w:val="inset"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（六）其他处理</w:t>
            </w: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1.申请人无正当理由逾期不补正、行政机关不再处理其政府信息公开申请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1106" w:type="dxa"/>
            <w:vMerge/>
            <w:tcBorders>
              <w:top w:val="inset" w:sz="8"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2.申请人逾期未按收费通知要求缴纳费用、行政机关不再处理其政府信息公开申请</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right w:val="single" w:sz="8" w:space="0" w:color="auto"/>
            </w:tcBorders>
            <w:shd w:val="clear" w:color="auto" w:fill="auto"/>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1106" w:type="dxa"/>
            <w:vMerge/>
            <w:tcBorders>
              <w:top w:val="inset" w:sz="8" w:space="0" w:color="auto"/>
              <w:left w:val="single" w:sz="0" w:space="0" w:color="auto"/>
              <w:bottom w:val="inset" w:sz="8" w:space="0" w:color="auto"/>
              <w:right w:val="single" w:sz="8" w:space="0" w:color="auto"/>
            </w:tcBorders>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274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3.其他</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869" w:type="dxa"/>
            <w:vMerge/>
            <w:tcBorders>
              <w:left w:val="single" w:sz="8" w:space="0" w:color="auto"/>
              <w:bottom w:val="inset" w:sz="8" w:space="0" w:color="auto"/>
              <w:right w:val="single" w:sz="8" w:space="0" w:color="auto"/>
            </w:tcBorders>
            <w:shd w:val="clear" w:color="auto" w:fill="auto"/>
            <w:vAlign w:val="center"/>
          </w:tcPr>
          <w:p w:rsidR="00E7519C" w:rsidRDefault="00E7519C">
            <w:pPr>
              <w:adjustRightInd w:val="0"/>
              <w:snapToGrid w:val="0"/>
              <w:spacing w:line="280" w:lineRule="exact"/>
              <w:rPr>
                <w:rFonts w:ascii="方正书宋_GBK" w:eastAsia="方正书宋_GBK" w:hAnsi="Times New Roman"/>
                <w:color w:val="000000"/>
                <w:kern w:val="0"/>
                <w:szCs w:val="21"/>
              </w:rPr>
            </w:pPr>
          </w:p>
        </w:tc>
        <w:tc>
          <w:tcPr>
            <w:tcW w:w="3850" w:type="dxa"/>
            <w:gridSpan w:val="2"/>
            <w:tcBorders>
              <w:top w:val="nil"/>
              <w:left w:val="nil"/>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（七）总计</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r w:rsidR="00E7519C">
        <w:trPr>
          <w:trHeight w:val="425"/>
          <w:jc w:val="center"/>
        </w:trPr>
        <w:tc>
          <w:tcPr>
            <w:tcW w:w="4719" w:type="dxa"/>
            <w:gridSpan w:val="3"/>
            <w:tcBorders>
              <w:top w:val="nil"/>
              <w:left w:val="single" w:sz="8" w:space="0" w:color="auto"/>
              <w:bottom w:val="single" w:sz="8" w:space="0" w:color="auto"/>
              <w:right w:val="single" w:sz="8" w:space="0" w:color="auto"/>
            </w:tcBorders>
            <w:vAlign w:val="center"/>
          </w:tcPr>
          <w:p w:rsidR="00E7519C" w:rsidRDefault="00021DA6">
            <w:pPr>
              <w:adjustRightInd w:val="0"/>
              <w:snapToGrid w:val="0"/>
              <w:spacing w:line="280" w:lineRule="exact"/>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四、结转下年度继续办理</w:t>
            </w:r>
          </w:p>
        </w:tc>
        <w:tc>
          <w:tcPr>
            <w:tcW w:w="85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43"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714"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5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16"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20"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448" w:type="dxa"/>
            <w:tcBorders>
              <w:top w:val="nil"/>
              <w:left w:val="nil"/>
              <w:bottom w:val="single" w:sz="8" w:space="0" w:color="auto"/>
              <w:right w:val="single" w:sz="8" w:space="0" w:color="auto"/>
            </w:tcBorders>
            <w:tcMar>
              <w:top w:w="0" w:type="dxa"/>
              <w:left w:w="57" w:type="dxa"/>
              <w:bottom w:w="0" w:type="dxa"/>
              <w:right w:w="57" w:type="dxa"/>
            </w:tcMar>
            <w:vAlign w:val="center"/>
          </w:tcPr>
          <w:p w:rsidR="00E7519C" w:rsidRDefault="00423F95" w:rsidP="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bl>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四、政府信息公开行政复议、行政诉讼情况</w:t>
      </w:r>
    </w:p>
    <w:tbl>
      <w:tblPr>
        <w:tblW w:w="9072" w:type="dxa"/>
        <w:jc w:val="center"/>
        <w:tblLayout w:type="fixed"/>
        <w:tblCellMar>
          <w:top w:w="28" w:type="dxa"/>
          <w:left w:w="28" w:type="dxa"/>
          <w:bottom w:w="28" w:type="dxa"/>
          <w:right w:w="28" w:type="dxa"/>
        </w:tblCellMar>
        <w:tblLook w:val="04A0"/>
      </w:tblPr>
      <w:tblGrid>
        <w:gridCol w:w="605"/>
        <w:gridCol w:w="605"/>
        <w:gridCol w:w="605"/>
        <w:gridCol w:w="605"/>
        <w:gridCol w:w="604"/>
        <w:gridCol w:w="604"/>
        <w:gridCol w:w="604"/>
        <w:gridCol w:w="605"/>
        <w:gridCol w:w="605"/>
        <w:gridCol w:w="605"/>
        <w:gridCol w:w="605"/>
        <w:gridCol w:w="605"/>
        <w:gridCol w:w="605"/>
        <w:gridCol w:w="605"/>
        <w:gridCol w:w="605"/>
      </w:tblGrid>
      <w:tr w:rsidR="00E7519C">
        <w:trPr>
          <w:trHeight w:val="397"/>
          <w:jc w:val="center"/>
        </w:trPr>
        <w:tc>
          <w:tcPr>
            <w:tcW w:w="3024" w:type="dxa"/>
            <w:gridSpan w:val="5"/>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widowControl/>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行政复议</w:t>
            </w:r>
          </w:p>
        </w:tc>
        <w:tc>
          <w:tcPr>
            <w:tcW w:w="6048" w:type="dxa"/>
            <w:gridSpan w:val="10"/>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widowControl/>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行政诉讼</w:t>
            </w:r>
          </w:p>
        </w:tc>
      </w:tr>
      <w:tr w:rsidR="00E7519C">
        <w:trPr>
          <w:trHeight w:val="397"/>
          <w:jc w:val="center"/>
        </w:trPr>
        <w:tc>
          <w:tcPr>
            <w:tcW w:w="605" w:type="dxa"/>
            <w:vMerge w:val="restart"/>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结果维持</w:t>
            </w:r>
          </w:p>
        </w:tc>
        <w:tc>
          <w:tcPr>
            <w:tcW w:w="605" w:type="dxa"/>
            <w:vMerge w:val="restart"/>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w:t>
            </w:r>
            <w:r>
              <w:rPr>
                <w:rFonts w:ascii="方正黑体_GBK" w:eastAsia="方正黑体_GBK" w:hAnsi="Times New Roman" w:hint="eastAsia"/>
                <w:color w:val="000000"/>
                <w:kern w:val="0"/>
                <w:szCs w:val="21"/>
              </w:rPr>
              <w:br/>
              <w:t>纠正</w:t>
            </w:r>
          </w:p>
        </w:tc>
        <w:tc>
          <w:tcPr>
            <w:tcW w:w="605"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其他</w:t>
            </w:r>
            <w:r>
              <w:rPr>
                <w:rFonts w:ascii="方正黑体_GBK" w:eastAsia="方正黑体_GBK" w:hAnsi="Times New Roman" w:hint="eastAsia"/>
                <w:color w:val="000000"/>
                <w:kern w:val="0"/>
                <w:szCs w:val="21"/>
              </w:rPr>
              <w:br/>
              <w:t>结果</w:t>
            </w:r>
          </w:p>
        </w:tc>
        <w:tc>
          <w:tcPr>
            <w:tcW w:w="605"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尚未</w:t>
            </w:r>
            <w:r>
              <w:rPr>
                <w:rFonts w:ascii="方正黑体_GBK" w:eastAsia="方正黑体_GBK" w:hAnsi="Times New Roman" w:hint="eastAsia"/>
                <w:color w:val="000000"/>
                <w:kern w:val="0"/>
                <w:szCs w:val="21"/>
              </w:rPr>
              <w:br/>
              <w:t>审结</w:t>
            </w:r>
          </w:p>
        </w:tc>
        <w:tc>
          <w:tcPr>
            <w:tcW w:w="604"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总计</w:t>
            </w:r>
          </w:p>
        </w:tc>
        <w:tc>
          <w:tcPr>
            <w:tcW w:w="3023" w:type="dxa"/>
            <w:gridSpan w:val="5"/>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未经复议直接起诉</w:t>
            </w:r>
          </w:p>
        </w:tc>
        <w:tc>
          <w:tcPr>
            <w:tcW w:w="3025" w:type="dxa"/>
            <w:gridSpan w:val="5"/>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复议后起诉</w:t>
            </w:r>
          </w:p>
        </w:tc>
      </w:tr>
      <w:tr w:rsidR="00E7519C">
        <w:trPr>
          <w:trHeight w:val="397"/>
          <w:jc w:val="center"/>
        </w:trPr>
        <w:tc>
          <w:tcPr>
            <w:tcW w:w="605" w:type="dxa"/>
            <w:vMerge/>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05" w:type="dxa"/>
            <w:vMerge/>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05"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05"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04"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E7519C">
            <w:pPr>
              <w:adjustRightInd w:val="0"/>
              <w:snapToGrid w:val="0"/>
              <w:spacing w:line="280" w:lineRule="exact"/>
              <w:jc w:val="center"/>
              <w:rPr>
                <w:rFonts w:ascii="方正黑体_GBK" w:eastAsia="方正黑体_GBK" w:hAnsi="Times New Roman"/>
                <w:color w:val="000000"/>
                <w:kern w:val="0"/>
                <w:szCs w:val="21"/>
              </w:rPr>
            </w:pPr>
          </w:p>
        </w:tc>
        <w:tc>
          <w:tcPr>
            <w:tcW w:w="604"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w:t>
            </w:r>
            <w:r>
              <w:rPr>
                <w:rFonts w:ascii="方正黑体_GBK" w:eastAsia="方正黑体_GBK" w:hAnsi="Times New Roman" w:hint="eastAsia"/>
                <w:color w:val="000000"/>
                <w:kern w:val="0"/>
                <w:szCs w:val="21"/>
              </w:rPr>
              <w:br/>
              <w:t>维持</w:t>
            </w:r>
          </w:p>
        </w:tc>
        <w:tc>
          <w:tcPr>
            <w:tcW w:w="604"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w:t>
            </w:r>
            <w:r>
              <w:rPr>
                <w:rFonts w:ascii="方正黑体_GBK" w:eastAsia="方正黑体_GBK" w:hAnsi="Times New Roman" w:hint="eastAsia"/>
                <w:color w:val="000000"/>
                <w:kern w:val="0"/>
                <w:szCs w:val="21"/>
              </w:rPr>
              <w:br/>
              <w:t>纠正</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其他</w:t>
            </w:r>
            <w:r>
              <w:rPr>
                <w:rFonts w:ascii="方正黑体_GBK" w:eastAsia="方正黑体_GBK" w:hAnsi="Times New Roman" w:hint="eastAsia"/>
                <w:color w:val="000000"/>
                <w:kern w:val="0"/>
                <w:szCs w:val="21"/>
              </w:rPr>
              <w:br/>
              <w:t>结果</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尚未</w:t>
            </w:r>
            <w:r>
              <w:rPr>
                <w:rFonts w:ascii="方正黑体_GBK" w:eastAsia="方正黑体_GBK" w:hAnsi="Times New Roman" w:hint="eastAsia"/>
                <w:color w:val="000000"/>
                <w:kern w:val="0"/>
                <w:szCs w:val="21"/>
              </w:rPr>
              <w:br/>
              <w:t>审结</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总计</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w:t>
            </w:r>
            <w:r>
              <w:rPr>
                <w:rFonts w:ascii="方正黑体_GBK" w:eastAsia="方正黑体_GBK" w:hAnsi="Times New Roman" w:hint="eastAsia"/>
                <w:color w:val="000000"/>
                <w:kern w:val="0"/>
                <w:szCs w:val="21"/>
              </w:rPr>
              <w:br/>
              <w:t>维持</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结果</w:t>
            </w:r>
            <w:r>
              <w:rPr>
                <w:rFonts w:ascii="方正黑体_GBK" w:eastAsia="方正黑体_GBK" w:hAnsi="Times New Roman" w:hint="eastAsia"/>
                <w:color w:val="000000"/>
                <w:kern w:val="0"/>
                <w:szCs w:val="21"/>
              </w:rPr>
              <w:br/>
              <w:t>纠正</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其他</w:t>
            </w:r>
            <w:r>
              <w:rPr>
                <w:rFonts w:ascii="方正黑体_GBK" w:eastAsia="方正黑体_GBK" w:hAnsi="Times New Roman" w:hint="eastAsia"/>
                <w:color w:val="000000"/>
                <w:kern w:val="0"/>
                <w:szCs w:val="21"/>
              </w:rPr>
              <w:br/>
              <w:t>结果</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尚未</w:t>
            </w:r>
            <w:r>
              <w:rPr>
                <w:rFonts w:ascii="方正黑体_GBK" w:eastAsia="方正黑体_GBK" w:hAnsi="Times New Roman" w:hint="eastAsia"/>
                <w:color w:val="000000"/>
                <w:kern w:val="0"/>
                <w:szCs w:val="21"/>
              </w:rPr>
              <w:br/>
              <w:t>审结</w:t>
            </w:r>
          </w:p>
        </w:tc>
        <w:tc>
          <w:tcPr>
            <w:tcW w:w="6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021DA6">
            <w:pPr>
              <w:adjustRightInd w:val="0"/>
              <w:snapToGrid w:val="0"/>
              <w:spacing w:line="280" w:lineRule="exact"/>
              <w:jc w:val="center"/>
              <w:rPr>
                <w:rFonts w:ascii="方正黑体_GBK" w:eastAsia="方正黑体_GBK" w:hAnsi="Times New Roman"/>
                <w:color w:val="000000"/>
                <w:kern w:val="0"/>
                <w:szCs w:val="21"/>
              </w:rPr>
            </w:pPr>
            <w:r>
              <w:rPr>
                <w:rFonts w:ascii="方正黑体_GBK" w:eastAsia="方正黑体_GBK" w:hAnsi="Times New Roman" w:hint="eastAsia"/>
                <w:color w:val="000000"/>
                <w:kern w:val="0"/>
                <w:szCs w:val="21"/>
              </w:rPr>
              <w:t>总计</w:t>
            </w:r>
          </w:p>
        </w:tc>
      </w:tr>
      <w:tr w:rsidR="00E7519C">
        <w:trPr>
          <w:trHeight w:val="397"/>
          <w:jc w:val="center"/>
        </w:trPr>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4"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4"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4"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c>
          <w:tcPr>
            <w:tcW w:w="605"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tcPr>
          <w:p w:rsidR="00E7519C" w:rsidRDefault="00423F95">
            <w:pPr>
              <w:adjustRightInd w:val="0"/>
              <w:snapToGrid w:val="0"/>
              <w:spacing w:line="280" w:lineRule="exact"/>
              <w:jc w:val="center"/>
              <w:rPr>
                <w:rFonts w:ascii="方正书宋_GBK" w:eastAsia="方正书宋_GBK" w:hAnsi="Times New Roman"/>
                <w:color w:val="000000"/>
                <w:kern w:val="0"/>
                <w:szCs w:val="21"/>
              </w:rPr>
            </w:pPr>
            <w:r>
              <w:rPr>
                <w:rFonts w:ascii="方正书宋_GBK" w:eastAsia="方正书宋_GBK" w:hAnsi="Times New Roman" w:hint="eastAsia"/>
                <w:color w:val="000000"/>
                <w:kern w:val="0"/>
                <w:szCs w:val="21"/>
              </w:rPr>
              <w:t>0</w:t>
            </w:r>
          </w:p>
        </w:tc>
      </w:tr>
    </w:tbl>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五、存在的主要问题及改进情况</w:t>
      </w:r>
    </w:p>
    <w:p w:rsidR="00423F95" w:rsidRDefault="00423F95" w:rsidP="00423F95">
      <w:pPr>
        <w:spacing w:line="540" w:lineRule="exact"/>
        <w:ind w:firstLineChars="200" w:firstLine="560"/>
        <w:rPr>
          <w:rFonts w:ascii="Times New Roman" w:eastAsia="方正仿宋_GBK" w:hAnsi="Times New Roman"/>
          <w:snapToGrid w:val="0"/>
          <w:color w:val="000000"/>
          <w:sz w:val="28"/>
          <w:szCs w:val="32"/>
        </w:rPr>
      </w:pPr>
      <w:r w:rsidRPr="00423F95">
        <w:rPr>
          <w:rFonts w:ascii="Times New Roman" w:eastAsia="方正仿宋_GBK" w:hAnsi="Times New Roman"/>
          <w:snapToGrid w:val="0"/>
          <w:color w:val="000000"/>
          <w:sz w:val="28"/>
          <w:szCs w:val="32"/>
        </w:rPr>
        <w:t>20</w:t>
      </w:r>
      <w:r w:rsidRPr="00423F95">
        <w:rPr>
          <w:rFonts w:ascii="Times New Roman" w:eastAsia="方正仿宋_GBK" w:hAnsi="Times New Roman" w:hint="eastAsia"/>
          <w:snapToGrid w:val="0"/>
          <w:color w:val="000000"/>
          <w:sz w:val="28"/>
          <w:szCs w:val="32"/>
        </w:rPr>
        <w:t>21</w:t>
      </w:r>
      <w:r w:rsidRPr="00423F95">
        <w:rPr>
          <w:rFonts w:ascii="Times New Roman" w:eastAsia="方正仿宋_GBK" w:hAnsi="Times New Roman"/>
          <w:snapToGrid w:val="0"/>
          <w:color w:val="000000"/>
          <w:sz w:val="28"/>
          <w:szCs w:val="32"/>
        </w:rPr>
        <w:t>年，我局虽在政府信息公开工作上取得了一些成绩，但工作中还存在着公开内容形式较为单一、公开形式便民性需要进一步提高、主动公开的政府信息内容与公众需求存在一定差距等问题，结合工作中存在问题和不足，我局考虑从以下三个方面进一步改进：一是</w:t>
      </w:r>
      <w:r w:rsidRPr="00423F95">
        <w:rPr>
          <w:rFonts w:ascii="Times New Roman" w:eastAsia="方正仿宋_GBK" w:hAnsi="Times New Roman"/>
          <w:snapToGrid w:val="0"/>
          <w:color w:val="000000"/>
          <w:sz w:val="28"/>
          <w:szCs w:val="32"/>
        </w:rPr>
        <w:lastRenderedPageBreak/>
        <w:t>不断丰富政府信息公开内容，突出重点、热点和难点问题，把群众最关心、反应最强烈的事项作为政府信息公开的主要内容，完善信息公开措施，优化信息公开环境，改进信息公开方式。二是进一步扩大政务公开的深度与广度，在做好以政府网站为政务公开工作主战场的同时，积极推进微博、微信等新媒体平台</w:t>
      </w:r>
      <w:r w:rsidRPr="00423F95">
        <w:rPr>
          <w:rFonts w:ascii="Times New Roman" w:eastAsia="方正仿宋_GBK" w:hAnsi="Times New Roman" w:hint="eastAsia"/>
          <w:snapToGrid w:val="0"/>
          <w:color w:val="000000"/>
          <w:sz w:val="28"/>
          <w:szCs w:val="32"/>
        </w:rPr>
        <w:t>建立</w:t>
      </w:r>
      <w:r w:rsidRPr="00423F95">
        <w:rPr>
          <w:rFonts w:ascii="Times New Roman" w:eastAsia="方正仿宋_GBK" w:hAnsi="Times New Roman"/>
          <w:snapToGrid w:val="0"/>
          <w:color w:val="000000"/>
          <w:sz w:val="28"/>
          <w:szCs w:val="32"/>
        </w:rPr>
        <w:t>，扩展公众参与政务公开的渠道和途径。三是加强政府信息公开人员队伍建设，合理安排兼职人员的工作任务，提高政府信息公开效率和质量。</w:t>
      </w:r>
    </w:p>
    <w:p w:rsidR="00E7519C" w:rsidRDefault="00021DA6">
      <w:pPr>
        <w:adjustRightInd w:val="0"/>
        <w:snapToGrid w:val="0"/>
        <w:spacing w:line="460" w:lineRule="exact"/>
        <w:ind w:firstLineChars="200" w:firstLine="560"/>
        <w:rPr>
          <w:rFonts w:ascii="方正黑体_GBK" w:eastAsia="方正黑体_GBK" w:hAnsi="Times New Roman"/>
          <w:snapToGrid w:val="0"/>
          <w:color w:val="000000"/>
          <w:sz w:val="28"/>
          <w:szCs w:val="32"/>
        </w:rPr>
      </w:pPr>
      <w:r>
        <w:rPr>
          <w:rFonts w:ascii="方正黑体_GBK" w:eastAsia="方正黑体_GBK" w:hAnsi="Times New Roman" w:hint="eastAsia"/>
          <w:snapToGrid w:val="0"/>
          <w:color w:val="000000"/>
          <w:sz w:val="28"/>
          <w:szCs w:val="32"/>
        </w:rPr>
        <w:t>六、其他需要报告的事项</w:t>
      </w:r>
    </w:p>
    <w:p w:rsidR="00E7519C" w:rsidRDefault="00423F95">
      <w:pPr>
        <w:adjustRightInd w:val="0"/>
        <w:snapToGrid w:val="0"/>
        <w:spacing w:line="460" w:lineRule="exact"/>
        <w:ind w:firstLineChars="200" w:firstLine="560"/>
        <w:rPr>
          <w:rFonts w:ascii="Times New Roman" w:eastAsia="方正仿宋_GBK" w:hAnsi="Times New Roman"/>
          <w:snapToGrid w:val="0"/>
          <w:color w:val="000000"/>
          <w:sz w:val="28"/>
          <w:szCs w:val="32"/>
        </w:rPr>
      </w:pPr>
      <w:r>
        <w:rPr>
          <w:rFonts w:ascii="Times New Roman" w:eastAsia="方正仿宋_GBK" w:hAnsi="Times New Roman" w:hint="eastAsia"/>
          <w:snapToGrid w:val="0"/>
          <w:color w:val="000000"/>
          <w:sz w:val="28"/>
          <w:szCs w:val="32"/>
        </w:rPr>
        <w:t>无</w:t>
      </w:r>
    </w:p>
    <w:p w:rsidR="00E7519C" w:rsidRDefault="00E7519C">
      <w:bookmarkStart w:id="0" w:name="_GoBack"/>
      <w:bookmarkEnd w:id="0"/>
    </w:p>
    <w:sectPr w:rsidR="00E7519C" w:rsidSect="00E751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565" w:rsidRDefault="00C82565" w:rsidP="00423F95">
      <w:r>
        <w:separator/>
      </w:r>
    </w:p>
  </w:endnote>
  <w:endnote w:type="continuationSeparator" w:id="0">
    <w:p w:rsidR="00C82565" w:rsidRDefault="00C82565" w:rsidP="00423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8000000" w:usb2="00000000" w:usb3="00000000" w:csb0="00040000" w:csb1="00000000"/>
  </w:font>
  <w:font w:name="方正黑体_GBK">
    <w:altName w:val="微软雅黑"/>
    <w:charset w:val="86"/>
    <w:family w:val="script"/>
    <w:pitch w:val="default"/>
    <w:sig w:usb0="00000000" w:usb1="08000000" w:usb2="00000000" w:usb3="00000000" w:csb0="00040000" w:csb1="00000000"/>
  </w:font>
  <w:font w:name="方正仿宋_GBK">
    <w:altName w:val="微软雅黑"/>
    <w:charset w:val="86"/>
    <w:family w:val="script"/>
    <w:pitch w:val="default"/>
    <w:sig w:usb0="00000000" w:usb1="08000000" w:usb2="00000000" w:usb3="00000000" w:csb0="00040000" w:csb1="00000000"/>
  </w:font>
  <w:font w:name="方正书宋_GBK">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565" w:rsidRDefault="00C82565" w:rsidP="00423F95">
      <w:r>
        <w:separator/>
      </w:r>
    </w:p>
  </w:footnote>
  <w:footnote w:type="continuationSeparator" w:id="0">
    <w:p w:rsidR="00C82565" w:rsidRDefault="00C82565" w:rsidP="00423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4B60B7"/>
    <w:rsid w:val="FD2EBFFC"/>
    <w:rsid w:val="00021DA6"/>
    <w:rsid w:val="00423F95"/>
    <w:rsid w:val="0059300F"/>
    <w:rsid w:val="005D0B0E"/>
    <w:rsid w:val="005E7EC5"/>
    <w:rsid w:val="00C82565"/>
    <w:rsid w:val="00E7519C"/>
    <w:rsid w:val="6BF662AB"/>
    <w:rsid w:val="754B60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19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qFormat/>
    <w:rsid w:val="00E7519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rsid w:val="00423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23F95"/>
    <w:rPr>
      <w:rFonts w:ascii="Calibri" w:eastAsia="宋体" w:hAnsi="Calibri" w:cs="Times New Roman"/>
      <w:kern w:val="2"/>
      <w:sz w:val="18"/>
      <w:szCs w:val="18"/>
    </w:rPr>
  </w:style>
  <w:style w:type="paragraph" w:styleId="a5">
    <w:name w:val="footer"/>
    <w:basedOn w:val="a"/>
    <w:link w:val="Char0"/>
    <w:rsid w:val="00423F95"/>
    <w:pPr>
      <w:tabs>
        <w:tab w:val="center" w:pos="4153"/>
        <w:tab w:val="right" w:pos="8306"/>
      </w:tabs>
      <w:snapToGrid w:val="0"/>
      <w:jc w:val="left"/>
    </w:pPr>
    <w:rPr>
      <w:sz w:val="18"/>
      <w:szCs w:val="18"/>
    </w:rPr>
  </w:style>
  <w:style w:type="character" w:customStyle="1" w:styleId="Char0">
    <w:name w:val="页脚 Char"/>
    <w:basedOn w:val="a0"/>
    <w:link w:val="a5"/>
    <w:rsid w:val="00423F95"/>
    <w:rPr>
      <w:rFonts w:ascii="Calibri" w:eastAsia="宋体" w:hAnsi="Calibri" w:cs="Times New Roman"/>
      <w:kern w:val="2"/>
      <w:sz w:val="18"/>
      <w:szCs w:val="18"/>
    </w:rPr>
  </w:style>
  <w:style w:type="character" w:styleId="a6">
    <w:name w:val="Hyperlink"/>
    <w:rsid w:val="00423F95"/>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你怎么可以吃兔兔？</dc:creator>
  <cp:lastModifiedBy>Adminzwof</cp:lastModifiedBy>
  <cp:revision>4</cp:revision>
  <cp:lastPrinted>2022-01-20T03:42:00Z</cp:lastPrinted>
  <dcterms:created xsi:type="dcterms:W3CDTF">2021-11-04T17:36:00Z</dcterms:created>
  <dcterms:modified xsi:type="dcterms:W3CDTF">2022-01-24T08:07:00Z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94214A4E94094439AFF88E74C90B4161</vt:lpwstr>
  </property>
</Properties>
</file>